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33" w:rsidRDefault="00475133" w:rsidP="00475133">
      <w:pPr>
        <w:pStyle w:val="Normal1"/>
        <w:tabs>
          <w:tab w:val="center" w:pos="4680"/>
          <w:tab w:val="left" w:pos="5760"/>
          <w:tab w:val="right" w:pos="9360"/>
        </w:tabs>
        <w:spacing w:after="0" w:line="240" w:lineRule="auto"/>
      </w:pPr>
      <w:r>
        <w:t xml:space="preserve">Class:  </w:t>
      </w:r>
      <w:r w:rsidRPr="00C63F84">
        <w:t>ELL5</w:t>
      </w:r>
      <w:r>
        <w:t xml:space="preserve">                           </w:t>
      </w:r>
      <w:r>
        <w:tab/>
      </w:r>
      <w:r>
        <w:tab/>
      </w:r>
      <w:r w:rsidR="00D5336E">
        <w:tab/>
      </w:r>
      <w:r>
        <w:t xml:space="preserve">Teacher:    </w:t>
      </w:r>
      <w:r w:rsidRPr="00C63F84">
        <w:t>Jennifer Barrett</w:t>
      </w:r>
    </w:p>
    <w:p w:rsidR="00475133" w:rsidRPr="00C63F84" w:rsidRDefault="00475133" w:rsidP="00475133">
      <w:pPr>
        <w:pStyle w:val="Normal1"/>
        <w:tabs>
          <w:tab w:val="center" w:pos="4680"/>
          <w:tab w:val="right" w:pos="9360"/>
        </w:tabs>
        <w:spacing w:after="0" w:line="240" w:lineRule="auto"/>
      </w:pPr>
      <w:r>
        <w:t>Lesson:</w:t>
      </w:r>
      <w:r w:rsidR="00D5336E">
        <w:t xml:space="preserve"> </w:t>
      </w:r>
      <w:r w:rsidR="008435CE">
        <w:t xml:space="preserve">      </w:t>
      </w:r>
      <w:r w:rsidR="009E069C">
        <w:t xml:space="preserve">“The House on Mango Street” </w:t>
      </w:r>
      <w:proofErr w:type="spellStart"/>
      <w:r w:rsidR="009E069C">
        <w:t>pg</w:t>
      </w:r>
      <w:proofErr w:type="spellEnd"/>
      <w:r w:rsidR="009E069C">
        <w:t xml:space="preserve"> </w:t>
      </w:r>
      <w:r w:rsidR="000041AD">
        <w:t>101-110</w:t>
      </w:r>
      <w:r w:rsidR="004A6BCB">
        <w:tab/>
        <w:t xml:space="preserve"> </w:t>
      </w:r>
      <w:bookmarkStart w:id="0" w:name="_GoBack"/>
      <w:bookmarkEnd w:id="0"/>
      <w:r>
        <w:t>Date:</w:t>
      </w:r>
      <w:r w:rsidR="00D5336E">
        <w:t xml:space="preserve"> </w:t>
      </w:r>
      <w:r w:rsidR="000041AD">
        <w:t>1/6/15</w:t>
      </w:r>
    </w:p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4608"/>
        <w:gridCol w:w="5223"/>
      </w:tblGrid>
      <w:tr w:rsidR="00475133">
        <w:tc>
          <w:tcPr>
            <w:tcW w:w="4608" w:type="dxa"/>
          </w:tcPr>
          <w:p w:rsidR="00475133" w:rsidRDefault="00475133" w:rsidP="00475133">
            <w:pPr>
              <w:pStyle w:val="Normal1"/>
            </w:pPr>
            <w:r>
              <w:t>Skill Objective #1 (Students will be able to…)</w:t>
            </w:r>
          </w:p>
          <w:p w:rsidR="00475133" w:rsidRPr="00FE68AA" w:rsidRDefault="00207D6B" w:rsidP="00FE68AA">
            <w:pPr>
              <w:pStyle w:val="Normal1"/>
              <w:rPr>
                <w:bCs/>
              </w:rPr>
            </w:pPr>
            <w:r w:rsidRPr="00207D6B">
              <w:rPr>
                <w:bCs/>
              </w:rPr>
              <w:t xml:space="preserve"> </w:t>
            </w:r>
            <w:r w:rsidR="00FE68AA">
              <w:rPr>
                <w:bCs/>
              </w:rPr>
              <w:t xml:space="preserve">Continue to develop </w:t>
            </w:r>
            <w:r w:rsidR="00FE68AA" w:rsidRPr="00FE68AA">
              <w:rPr>
                <w:bCs/>
              </w:rPr>
              <w:t xml:space="preserve">reading fluency </w:t>
            </w:r>
          </w:p>
        </w:tc>
        <w:tc>
          <w:tcPr>
            <w:tcW w:w="5223" w:type="dxa"/>
          </w:tcPr>
          <w:p w:rsidR="00475133" w:rsidRDefault="00475133" w:rsidP="00475133">
            <w:pPr>
              <w:pStyle w:val="Normal1"/>
            </w:pPr>
            <w:r>
              <w:t>Skill Objective #2 (Students will be able to…)</w:t>
            </w:r>
          </w:p>
          <w:p w:rsidR="00207D6B" w:rsidRDefault="00207D6B" w:rsidP="00207D6B">
            <w:pPr>
              <w:pStyle w:val="Normal1"/>
              <w:rPr>
                <w:bCs/>
              </w:rPr>
            </w:pPr>
            <w:r w:rsidRPr="00207D6B">
              <w:rPr>
                <w:bCs/>
              </w:rPr>
              <w:t>Use vocabulary</w:t>
            </w:r>
            <w:r>
              <w:rPr>
                <w:bCs/>
              </w:rPr>
              <w:t xml:space="preserve"> </w:t>
            </w:r>
            <w:r w:rsidRPr="00207D6B">
              <w:rPr>
                <w:bCs/>
              </w:rPr>
              <w:t xml:space="preserve">to express shades of </w:t>
            </w:r>
            <w:r>
              <w:rPr>
                <w:bCs/>
              </w:rPr>
              <w:t>meaning</w:t>
            </w:r>
          </w:p>
          <w:p w:rsidR="00475133" w:rsidRPr="000A47AB" w:rsidRDefault="00207D6B" w:rsidP="00207D6B">
            <w:pPr>
              <w:pStyle w:val="Normal1"/>
            </w:pPr>
            <w:r w:rsidRPr="00207D6B">
              <w:rPr>
                <w:bCs/>
              </w:rPr>
              <w:t>Expand ideas in a clear,</w:t>
            </w:r>
            <w:r w:rsidR="00FE68AA">
              <w:rPr>
                <w:bCs/>
              </w:rPr>
              <w:t xml:space="preserve"> </w:t>
            </w:r>
            <w:r w:rsidRPr="00207D6B">
              <w:rPr>
                <w:bCs/>
              </w:rPr>
              <w:t xml:space="preserve">cohesive passage </w:t>
            </w:r>
          </w:p>
        </w:tc>
      </w:tr>
      <w:tr w:rsidR="00475133">
        <w:tc>
          <w:tcPr>
            <w:tcW w:w="4608" w:type="dxa"/>
          </w:tcPr>
          <w:p w:rsidR="00475133" w:rsidRPr="000A47AB" w:rsidRDefault="00475133" w:rsidP="00207D6B">
            <w:pPr>
              <w:pStyle w:val="Normal1"/>
            </w:pPr>
            <w:r>
              <w:t>Frameworks</w:t>
            </w:r>
            <w:r w:rsidR="007B1C7C">
              <w:t xml:space="preserve">: </w:t>
            </w:r>
            <w:r w:rsidR="00FE68AA" w:rsidRPr="00FE68AA">
              <w:rPr>
                <w:bCs/>
              </w:rPr>
              <w:t>R2.6a</w:t>
            </w:r>
          </w:p>
        </w:tc>
        <w:tc>
          <w:tcPr>
            <w:tcW w:w="5223" w:type="dxa"/>
          </w:tcPr>
          <w:p w:rsidR="00475133" w:rsidRPr="000A47AB" w:rsidRDefault="00475133" w:rsidP="00D47705">
            <w:pPr>
              <w:pStyle w:val="Normal1"/>
            </w:pPr>
            <w:r>
              <w:t>Frameworks:</w:t>
            </w:r>
            <w:r w:rsidR="00F02AF4">
              <w:t xml:space="preserve"> </w:t>
            </w:r>
            <w:r w:rsidR="00207D6B" w:rsidRPr="00207D6B">
              <w:rPr>
                <w:bCs/>
              </w:rPr>
              <w:t>S2.6b</w:t>
            </w:r>
            <w:r w:rsidR="00207D6B">
              <w:rPr>
                <w:bCs/>
              </w:rPr>
              <w:t>; W1.6a</w:t>
            </w:r>
          </w:p>
        </w:tc>
      </w:tr>
      <w:tr w:rsidR="00475133">
        <w:tc>
          <w:tcPr>
            <w:tcW w:w="4608" w:type="dxa"/>
          </w:tcPr>
          <w:p w:rsidR="000A47AB" w:rsidRDefault="00475133" w:rsidP="000A47AB">
            <w:pPr>
              <w:pStyle w:val="Normal1"/>
            </w:pPr>
            <w:r>
              <w:t>Content Objec</w:t>
            </w:r>
            <w:r w:rsidR="000A47AB">
              <w:t>tive #1 (Students will know</w:t>
            </w:r>
            <w:r>
              <w:t>…)</w:t>
            </w:r>
          </w:p>
          <w:p w:rsidR="00475133" w:rsidRPr="000A4AF3" w:rsidRDefault="00475133" w:rsidP="000A47AB">
            <w:pPr>
              <w:pStyle w:val="Normal1"/>
            </w:pPr>
          </w:p>
        </w:tc>
        <w:tc>
          <w:tcPr>
            <w:tcW w:w="5223" w:type="dxa"/>
          </w:tcPr>
          <w:p w:rsidR="00475133" w:rsidRDefault="00475133" w:rsidP="006238B4">
            <w:pPr>
              <w:pStyle w:val="Normal1"/>
            </w:pPr>
            <w:r>
              <w:t xml:space="preserve">Content Objective #2 (Students will know that…) </w:t>
            </w:r>
          </w:p>
          <w:p w:rsidR="006238B4" w:rsidRPr="000A4AF3" w:rsidRDefault="006238B4" w:rsidP="00CB3AC0">
            <w:pPr>
              <w:pStyle w:val="Normal1"/>
            </w:pPr>
          </w:p>
        </w:tc>
      </w:tr>
      <w:tr w:rsidR="00475133">
        <w:tc>
          <w:tcPr>
            <w:tcW w:w="4608" w:type="dxa"/>
          </w:tcPr>
          <w:p w:rsidR="000A47AB" w:rsidRDefault="00475133" w:rsidP="000A47AB">
            <w:pPr>
              <w:pStyle w:val="Normal1"/>
            </w:pPr>
            <w:r>
              <w:t>Activities</w:t>
            </w:r>
          </w:p>
          <w:p w:rsidR="007A7468" w:rsidRDefault="00207D6B" w:rsidP="009E069C">
            <w:pPr>
              <w:pStyle w:val="Normal1"/>
              <w:numPr>
                <w:ilvl w:val="0"/>
                <w:numId w:val="2"/>
              </w:numPr>
            </w:pPr>
            <w:r>
              <w:t xml:space="preserve">Warm-up: </w:t>
            </w:r>
            <w:r w:rsidR="007A7468">
              <w:t>Students will review the chapters in the book up until page 101. They will create a list of what they remember from the reading on the board.</w:t>
            </w:r>
          </w:p>
          <w:p w:rsidR="00207D6B" w:rsidRDefault="00207D6B" w:rsidP="009E069C">
            <w:pPr>
              <w:pStyle w:val="Normal1"/>
              <w:numPr>
                <w:ilvl w:val="0"/>
                <w:numId w:val="2"/>
              </w:numPr>
            </w:pPr>
            <w:r>
              <w:t xml:space="preserve">Students will </w:t>
            </w:r>
            <w:r w:rsidR="007A7468">
              <w:t xml:space="preserve">complete “A Closer Look” </w:t>
            </w:r>
            <w:proofErr w:type="spellStart"/>
            <w:r w:rsidR="007A7468">
              <w:t>pg</w:t>
            </w:r>
            <w:proofErr w:type="spellEnd"/>
            <w:r w:rsidR="007A7468">
              <w:t xml:space="preserve"> 136-8 </w:t>
            </w:r>
          </w:p>
          <w:p w:rsidR="007A7468" w:rsidRDefault="00207D6B" w:rsidP="007A7468">
            <w:pPr>
              <w:pStyle w:val="Normal1"/>
              <w:numPr>
                <w:ilvl w:val="0"/>
                <w:numId w:val="2"/>
              </w:numPr>
            </w:pPr>
            <w:r>
              <w:t>Students will c</w:t>
            </w:r>
            <w:r w:rsidR="007A7468">
              <w:t>reate a script for reading aloud one conversation from the book (page 104-105).</w:t>
            </w:r>
          </w:p>
          <w:p w:rsidR="007A7468" w:rsidRDefault="007A7468" w:rsidP="007A7468">
            <w:pPr>
              <w:pStyle w:val="Normal1"/>
              <w:numPr>
                <w:ilvl w:val="0"/>
                <w:numId w:val="2"/>
              </w:numPr>
            </w:pPr>
            <w:r>
              <w:t>In groups of four, students will underline the words that are spoken by each character. Each group member will practice reading their part before reading aloud.</w:t>
            </w:r>
          </w:p>
          <w:p w:rsidR="007A7468" w:rsidRDefault="007A7468" w:rsidP="007A7468">
            <w:pPr>
              <w:pStyle w:val="Normal1"/>
              <w:numPr>
                <w:ilvl w:val="0"/>
                <w:numId w:val="2"/>
              </w:numPr>
            </w:pPr>
            <w:r>
              <w:t>Students will perform their parts within their groups.</w:t>
            </w:r>
          </w:p>
          <w:p w:rsidR="00475133" w:rsidRPr="00324B6E" w:rsidRDefault="007A7468" w:rsidP="007A7468">
            <w:pPr>
              <w:pStyle w:val="Normal1"/>
              <w:numPr>
                <w:ilvl w:val="0"/>
                <w:numId w:val="2"/>
              </w:numPr>
            </w:pPr>
            <w:r>
              <w:t xml:space="preserve">One group will volunteer to act out their part in front of the class. </w:t>
            </w:r>
          </w:p>
        </w:tc>
        <w:tc>
          <w:tcPr>
            <w:tcW w:w="5223" w:type="dxa"/>
          </w:tcPr>
          <w:p w:rsidR="00475133" w:rsidRDefault="00475133" w:rsidP="00475133">
            <w:pPr>
              <w:pStyle w:val="Normal1"/>
            </w:pPr>
            <w:r>
              <w:t>Activities</w:t>
            </w:r>
          </w:p>
          <w:p w:rsidR="000041AD" w:rsidRDefault="009E069C" w:rsidP="00207D6B">
            <w:pPr>
              <w:pStyle w:val="Normal1"/>
              <w:numPr>
                <w:ilvl w:val="0"/>
                <w:numId w:val="1"/>
              </w:numPr>
            </w:pPr>
            <w:r>
              <w:t xml:space="preserve">Students will </w:t>
            </w:r>
            <w:r w:rsidR="000041AD">
              <w:t xml:space="preserve">read the Afterword: </w:t>
            </w:r>
            <w:r w:rsidR="000041AD">
              <w:rPr>
                <w:i/>
              </w:rPr>
              <w:t>Is Sandra Cisneros “Esperanza”?</w:t>
            </w:r>
            <w:r w:rsidR="00207D6B">
              <w:t xml:space="preserve"> </w:t>
            </w:r>
            <w:proofErr w:type="spellStart"/>
            <w:r w:rsidR="000041AD">
              <w:t>pg</w:t>
            </w:r>
            <w:proofErr w:type="spellEnd"/>
            <w:r w:rsidR="000041AD">
              <w:t xml:space="preserve"> 149- 151</w:t>
            </w:r>
          </w:p>
          <w:p w:rsidR="000041AD" w:rsidRDefault="000041AD" w:rsidP="00207D6B">
            <w:pPr>
              <w:pStyle w:val="Normal1"/>
              <w:numPr>
                <w:ilvl w:val="0"/>
                <w:numId w:val="1"/>
              </w:numPr>
            </w:pPr>
            <w:r>
              <w:t xml:space="preserve">Students will discuss their reactions to Cisneros’ words in relation to </w:t>
            </w:r>
            <w:r>
              <w:rPr>
                <w:i/>
              </w:rPr>
              <w:t>HOMS</w:t>
            </w:r>
            <w:r>
              <w:t xml:space="preserve"> </w:t>
            </w:r>
          </w:p>
          <w:p w:rsidR="000041AD" w:rsidRDefault="000041AD" w:rsidP="00207D6B">
            <w:pPr>
              <w:pStyle w:val="Normal1"/>
              <w:numPr>
                <w:ilvl w:val="0"/>
                <w:numId w:val="1"/>
              </w:numPr>
            </w:pPr>
            <w:r>
              <w:t>In the computer lab, students will chose either writing topic 2 or 3 under “Suggestions for Writing”</w:t>
            </w:r>
          </w:p>
          <w:p w:rsidR="00207D6B" w:rsidRDefault="00207D6B" w:rsidP="00207D6B">
            <w:pPr>
              <w:pStyle w:val="Normal1"/>
              <w:numPr>
                <w:ilvl w:val="0"/>
                <w:numId w:val="1"/>
              </w:numPr>
            </w:pPr>
            <w:r>
              <w:t xml:space="preserve">Students will brainstorm for a few minutes to compose a </w:t>
            </w:r>
            <w:r w:rsidR="000041AD">
              <w:t>well-written and complete first draft.</w:t>
            </w:r>
          </w:p>
          <w:p w:rsidR="00207D6B" w:rsidRDefault="00207D6B" w:rsidP="00207D6B">
            <w:pPr>
              <w:pStyle w:val="Normal1"/>
              <w:numPr>
                <w:ilvl w:val="0"/>
                <w:numId w:val="1"/>
              </w:numPr>
            </w:pPr>
            <w:r>
              <w:t xml:space="preserve">Students will choose </w:t>
            </w:r>
            <w:r w:rsidR="000041AD">
              <w:t>two</w:t>
            </w:r>
            <w:r>
              <w:t xml:space="preserve"> new vocabulary words from Parts 1-2 to use in their draft.</w:t>
            </w:r>
          </w:p>
          <w:p w:rsidR="00207D6B" w:rsidRDefault="00207D6B" w:rsidP="00207D6B">
            <w:pPr>
              <w:pStyle w:val="Normal1"/>
              <w:numPr>
                <w:ilvl w:val="0"/>
                <w:numId w:val="1"/>
              </w:numPr>
            </w:pPr>
            <w:r>
              <w:t xml:space="preserve">Students will each write one clear topic sentence. The teacher will circle and check the sentences. </w:t>
            </w:r>
          </w:p>
          <w:p w:rsidR="00207D6B" w:rsidRDefault="00207D6B" w:rsidP="00207D6B">
            <w:pPr>
              <w:pStyle w:val="Normal1"/>
              <w:numPr>
                <w:ilvl w:val="0"/>
                <w:numId w:val="1"/>
              </w:numPr>
            </w:pPr>
            <w:r>
              <w:t xml:space="preserve">Once the teacher says it is okay, student will compose </w:t>
            </w:r>
            <w:r w:rsidR="000041AD">
              <w:t>their</w:t>
            </w:r>
            <w:r>
              <w:t xml:space="preserve"> supporting sentences. </w:t>
            </w:r>
          </w:p>
          <w:p w:rsidR="00324B6E" w:rsidRPr="00324B6E" w:rsidRDefault="00207D6B" w:rsidP="00207D6B">
            <w:pPr>
              <w:pStyle w:val="Normal1"/>
              <w:numPr>
                <w:ilvl w:val="0"/>
                <w:numId w:val="1"/>
              </w:numPr>
            </w:pPr>
            <w:r>
              <w:t>Students will then compose a concluding sentence that clearly restates the topic sentence or makes a prediction.</w:t>
            </w:r>
          </w:p>
          <w:p w:rsidR="001300A6" w:rsidRDefault="001300A6" w:rsidP="00F65045">
            <w:pPr>
              <w:pStyle w:val="Normal1"/>
            </w:pPr>
          </w:p>
        </w:tc>
      </w:tr>
      <w:tr w:rsidR="00475133">
        <w:trPr>
          <w:trHeight w:val="629"/>
        </w:trPr>
        <w:tc>
          <w:tcPr>
            <w:tcW w:w="4608" w:type="dxa"/>
          </w:tcPr>
          <w:p w:rsidR="00475133" w:rsidRPr="00207D6B" w:rsidRDefault="00475133" w:rsidP="007A7468">
            <w:pPr>
              <w:pStyle w:val="Normal1"/>
            </w:pPr>
            <w:r>
              <w:t>Materials</w:t>
            </w:r>
            <w:r w:rsidR="003639D1">
              <w:t xml:space="preserve">: </w:t>
            </w:r>
            <w:r w:rsidR="00207D6B">
              <w:rPr>
                <w:i/>
              </w:rPr>
              <w:t>The House on Mango Street</w:t>
            </w:r>
            <w:r w:rsidR="00207D6B">
              <w:t xml:space="preserve"> </w:t>
            </w:r>
            <w:proofErr w:type="spellStart"/>
            <w:r w:rsidR="00207D6B">
              <w:t>pg</w:t>
            </w:r>
            <w:proofErr w:type="spellEnd"/>
            <w:r w:rsidR="00207D6B">
              <w:t xml:space="preserve"> </w:t>
            </w:r>
            <w:r w:rsidR="007A7468">
              <w:t xml:space="preserve"> 101-110</w:t>
            </w:r>
            <w:r w:rsidR="00207D6B">
              <w:t xml:space="preserve">; </w:t>
            </w:r>
            <w:r w:rsidR="00207D6B">
              <w:rPr>
                <w:i/>
              </w:rPr>
              <w:t>The ESL Reader’s Companion to House on Mango Street</w:t>
            </w:r>
            <w:r w:rsidR="00207D6B">
              <w:t xml:space="preserve">; </w:t>
            </w:r>
            <w:r w:rsidR="007A7468">
              <w:t>Part Nine</w:t>
            </w:r>
          </w:p>
        </w:tc>
        <w:tc>
          <w:tcPr>
            <w:tcW w:w="5223" w:type="dxa"/>
          </w:tcPr>
          <w:p w:rsidR="00475133" w:rsidRPr="00F65045" w:rsidRDefault="00475133" w:rsidP="000041AD">
            <w:pPr>
              <w:pStyle w:val="Normal1"/>
            </w:pPr>
            <w:r>
              <w:t>Materials</w:t>
            </w:r>
            <w:r w:rsidR="0092664E">
              <w:t xml:space="preserve">: </w:t>
            </w:r>
            <w:r w:rsidR="000041AD">
              <w:rPr>
                <w:i/>
              </w:rPr>
              <w:t>The ESL Reader’s Companion to House on Mango Street</w:t>
            </w:r>
          </w:p>
        </w:tc>
      </w:tr>
      <w:tr w:rsidR="00475133">
        <w:trPr>
          <w:trHeight w:val="872"/>
        </w:trPr>
        <w:tc>
          <w:tcPr>
            <w:tcW w:w="4608" w:type="dxa"/>
          </w:tcPr>
          <w:p w:rsidR="00475133" w:rsidRDefault="00475133" w:rsidP="007A7468">
            <w:pPr>
              <w:pStyle w:val="Normal1"/>
            </w:pPr>
            <w:r>
              <w:t xml:space="preserve">Assessment #1: </w:t>
            </w:r>
            <w:r w:rsidR="007A7468">
              <w:t xml:space="preserve">Students will discuss the scene from the novel, and why it is important to the entire work. </w:t>
            </w:r>
          </w:p>
        </w:tc>
        <w:tc>
          <w:tcPr>
            <w:tcW w:w="5223" w:type="dxa"/>
          </w:tcPr>
          <w:p w:rsidR="00475133" w:rsidRDefault="00475133" w:rsidP="000041AD">
            <w:pPr>
              <w:pStyle w:val="Normal1"/>
            </w:pPr>
            <w:r>
              <w:t xml:space="preserve">Assessment #2: </w:t>
            </w:r>
            <w:r w:rsidR="00FE68AA">
              <w:t xml:space="preserve">Students will </w:t>
            </w:r>
            <w:r w:rsidR="000041AD">
              <w:t xml:space="preserve">complete “Test Yourself” </w:t>
            </w:r>
            <w:proofErr w:type="spellStart"/>
            <w:r w:rsidR="000041AD">
              <w:t>pg</w:t>
            </w:r>
            <w:proofErr w:type="spellEnd"/>
            <w:r w:rsidR="000041AD">
              <w:t xml:space="preserve"> 142-147</w:t>
            </w:r>
          </w:p>
        </w:tc>
      </w:tr>
      <w:tr w:rsidR="00475133">
        <w:tc>
          <w:tcPr>
            <w:tcW w:w="4608" w:type="dxa"/>
          </w:tcPr>
          <w:p w:rsidR="00475133" w:rsidRDefault="00475133" w:rsidP="007A7468">
            <w:pPr>
              <w:pStyle w:val="Normal1"/>
            </w:pPr>
            <w:r>
              <w:t xml:space="preserve">Wrap Up Reflection: </w:t>
            </w:r>
            <w:r w:rsidR="00B06B06">
              <w:t>Discuss:</w:t>
            </w:r>
            <w:r w:rsidR="007A7468">
              <w:t xml:space="preserve"> What do you think Esperanza wishes for? What does the sister “with marble hands” mean when she tells Esperanza “you must remember to come back” (105)?</w:t>
            </w:r>
          </w:p>
        </w:tc>
        <w:tc>
          <w:tcPr>
            <w:tcW w:w="5223" w:type="dxa"/>
          </w:tcPr>
          <w:p w:rsidR="00475133" w:rsidRDefault="00475133" w:rsidP="000041AD">
            <w:pPr>
              <w:pStyle w:val="Normal1"/>
            </w:pPr>
            <w:r>
              <w:t>Wrap Up Reflection:</w:t>
            </w:r>
            <w:r w:rsidR="00232998">
              <w:t xml:space="preserve"> </w:t>
            </w:r>
            <w:r w:rsidR="00B06B06">
              <w:t xml:space="preserve">Students </w:t>
            </w:r>
            <w:r w:rsidR="000041AD">
              <w:t xml:space="preserve">will have the opportunity to read their papers aloud to the class. </w:t>
            </w:r>
          </w:p>
        </w:tc>
      </w:tr>
    </w:tbl>
    <w:p w:rsidR="0032061E" w:rsidRDefault="0032061E" w:rsidP="00475133"/>
    <w:sectPr w:rsidR="0032061E" w:rsidSect="0047513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73E"/>
    <w:multiLevelType w:val="multilevel"/>
    <w:tmpl w:val="0DB66D5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FF6"/>
    <w:multiLevelType w:val="hybridMultilevel"/>
    <w:tmpl w:val="3F2CC6A4"/>
    <w:lvl w:ilvl="0" w:tplc="C78E2C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145"/>
    <w:multiLevelType w:val="hybridMultilevel"/>
    <w:tmpl w:val="93A0D4DC"/>
    <w:lvl w:ilvl="0" w:tplc="E9761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32061E"/>
    <w:rsid w:val="000041AD"/>
    <w:rsid w:val="000328DD"/>
    <w:rsid w:val="00085A37"/>
    <w:rsid w:val="000A1BA9"/>
    <w:rsid w:val="000A47AB"/>
    <w:rsid w:val="000A4AF3"/>
    <w:rsid w:val="000E1B3B"/>
    <w:rsid w:val="001300A6"/>
    <w:rsid w:val="00137A51"/>
    <w:rsid w:val="00174A47"/>
    <w:rsid w:val="00207D6B"/>
    <w:rsid w:val="00232998"/>
    <w:rsid w:val="002735A8"/>
    <w:rsid w:val="002D450A"/>
    <w:rsid w:val="002F0D5C"/>
    <w:rsid w:val="0032061E"/>
    <w:rsid w:val="00324B6E"/>
    <w:rsid w:val="003639D1"/>
    <w:rsid w:val="00382B3A"/>
    <w:rsid w:val="003D7728"/>
    <w:rsid w:val="0043626D"/>
    <w:rsid w:val="00475133"/>
    <w:rsid w:val="004A6BCB"/>
    <w:rsid w:val="004C4C38"/>
    <w:rsid w:val="004E7A5F"/>
    <w:rsid w:val="005E7821"/>
    <w:rsid w:val="006238B4"/>
    <w:rsid w:val="006F6249"/>
    <w:rsid w:val="00706438"/>
    <w:rsid w:val="007A7468"/>
    <w:rsid w:val="007B1C7C"/>
    <w:rsid w:val="008435CE"/>
    <w:rsid w:val="008A4000"/>
    <w:rsid w:val="0092664E"/>
    <w:rsid w:val="00972ED0"/>
    <w:rsid w:val="009926C5"/>
    <w:rsid w:val="009A55C3"/>
    <w:rsid w:val="009E069C"/>
    <w:rsid w:val="00A82CA6"/>
    <w:rsid w:val="00AA29C2"/>
    <w:rsid w:val="00AB5AFA"/>
    <w:rsid w:val="00AE47EE"/>
    <w:rsid w:val="00B06B06"/>
    <w:rsid w:val="00B81F3D"/>
    <w:rsid w:val="00C37261"/>
    <w:rsid w:val="00C40C23"/>
    <w:rsid w:val="00C9624C"/>
    <w:rsid w:val="00CB3AC0"/>
    <w:rsid w:val="00D13258"/>
    <w:rsid w:val="00D47705"/>
    <w:rsid w:val="00D5336E"/>
    <w:rsid w:val="00D67DDE"/>
    <w:rsid w:val="00D75641"/>
    <w:rsid w:val="00DA4A4C"/>
    <w:rsid w:val="00E155EC"/>
    <w:rsid w:val="00E338C3"/>
    <w:rsid w:val="00E7439C"/>
    <w:rsid w:val="00F02AF4"/>
    <w:rsid w:val="00F65045"/>
    <w:rsid w:val="00F81EE5"/>
    <w:rsid w:val="00FD1C7E"/>
    <w:rsid w:val="00FE68AA"/>
    <w:rsid w:val="00FF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36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75133"/>
    <w:rPr>
      <w:rFonts w:ascii="Calibri" w:eastAsia="Calibri" w:hAnsi="Calibri" w:cs="Calibri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6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4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A47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75133"/>
    <w:rPr>
      <w:rFonts w:ascii="Calibri" w:eastAsia="Calibri" w:hAnsi="Calibri" w:cs="Calibri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6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2015-01-06T17:52:00Z</dcterms:created>
  <dcterms:modified xsi:type="dcterms:W3CDTF">2015-03-04T14:38:00Z</dcterms:modified>
</cp:coreProperties>
</file>