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Class:</w:t>
      </w:r>
      <w:r w:rsidRPr="00000000" w:rsidR="00000000" w:rsidDel="00000000">
        <w:rPr>
          <w:rtl w:val="0"/>
        </w:rPr>
        <w:t xml:space="preserve"> ELL 3</w:t>
      </w:r>
      <w:r w:rsidRPr="00000000" w:rsidR="00000000" w:rsidDel="00000000">
        <w:rPr>
          <w:rFonts w:cs="Calibri" w:hAnsi="Calibri" w:eastAsia="Calibri" w:ascii="Calibri"/>
          <w:sz w:val="22"/>
          <w:rtl w:val="0"/>
        </w:rPr>
        <w:t xml:space="preserve">  </w:t>
      </w:r>
      <w:r w:rsidRPr="00000000" w:rsidR="00000000" w:rsidDel="00000000">
        <w:rPr>
          <w:rtl w:val="0"/>
        </w:rPr>
        <w:tab/>
      </w:r>
      <w:r w:rsidRPr="00000000" w:rsidR="00000000" w:rsidDel="00000000">
        <w:rPr>
          <w:rFonts w:cs="Calibri" w:hAnsi="Calibri" w:eastAsia="Calibri" w:ascii="Calibri"/>
          <w:sz w:val="22"/>
          <w:rtl w:val="0"/>
        </w:rPr>
        <w:t xml:space="preserve">Teacher: </w:t>
      </w:r>
      <w:r w:rsidRPr="00000000" w:rsidR="00000000" w:rsidDel="00000000">
        <w:rPr>
          <w:rtl w:val="0"/>
        </w:rPr>
        <w:t xml:space="preserve">MJ Jouttenus</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Lesson</w:t>
      </w:r>
      <w:r w:rsidRPr="00000000" w:rsidR="00000000" w:rsidDel="00000000">
        <w:rPr>
          <w:rtl w:val="0"/>
        </w:rPr>
        <w:t xml:space="preserve">: Happy New Year</w:t>
        <w:tab/>
      </w:r>
      <w:r w:rsidRPr="00000000" w:rsidR="00000000" w:rsidDel="00000000">
        <w:rPr>
          <w:rFonts w:cs="Calibri" w:hAnsi="Calibri" w:eastAsia="Calibri" w:ascii="Calibri"/>
          <w:sz w:val="22"/>
          <w:rtl w:val="0"/>
        </w:rPr>
        <w:t xml:space="preserve">Date:</w:t>
      </w:r>
      <w:r w:rsidRPr="00000000" w:rsidR="00000000" w:rsidDel="00000000">
        <w:rPr>
          <w:rtl w:val="0"/>
        </w:rPr>
        <w:t xml:space="preserve"> 1/20/15</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tbl>
      <w:tblPr>
        <w:tblStyle w:val="Table1"/>
        <w:bidiVisual w:val="0"/>
        <w:tblW w:w="951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9510"/>
        <w:tblGridChange w:id="0">
          <w:tblGrid>
            <w:gridCol w:w="9510"/>
          </w:tblGrid>
        </w:tblGridChange>
      </w:tblGrid>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#1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use simple present tense with ease, affirmative and negative forms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#1 (Students will know that…)</w:t>
            </w:r>
          </w:p>
          <w:p w:rsidP="00000000" w:rsidRPr="00000000" w:rsidR="00000000" w:rsidDel="00000000" w:rsidRDefault="00000000">
            <w:pPr>
              <w:spacing w:lineRule="auto" w:after="0" w:line="240"/>
              <w:contextualSpacing w:val="0"/>
              <w:rPr/>
            </w:pPr>
            <w:r w:rsidRPr="00000000" w:rsidR="00000000" w:rsidDel="00000000">
              <w:rPr>
                <w:rtl w:val="0"/>
              </w:rPr>
              <w:t xml:space="preserve">information about the average American and how they might be similar or different</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rPr/>
            </w:pPr>
            <w:r w:rsidRPr="00000000" w:rsidR="00000000" w:rsidDel="00000000">
              <w:rPr>
                <w:rtl w:val="0"/>
              </w:rPr>
              <w:t xml:space="preserve">L1.4b, L1.4d, L2.4b, S2.4c, S3.4b</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Pass out our new books for this new cycle, hooray, turn to page 18, read about the average American, compare it to yourself, do the listening activity p. 19 and fill in the chart</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Ask the students what they remember, create a chart on simple present on the board, have the students work in pairs to do some review activities, cloze and conversation activities p. 20, 22, 23, 25, </w:t>
            </w:r>
          </w:p>
          <w:p w:rsidP="00000000" w:rsidRPr="00000000" w:rsidR="00000000" w:rsidDel="00000000" w:rsidRDefault="00000000">
            <w:pPr>
              <w:numPr>
                <w:ilvl w:val="0"/>
                <w:numId w:val="2"/>
              </w:numPr>
              <w:spacing w:lineRule="auto" w:after="0" w:line="240"/>
              <w:ind w:left="720" w:hanging="359"/>
              <w:contextualSpacing w:val="1"/>
              <w:rPr>
                <w:u w:val="none"/>
              </w:rPr>
            </w:pPr>
            <w:r w:rsidRPr="00000000" w:rsidR="00000000" w:rsidDel="00000000">
              <w:rPr>
                <w:rtl w:val="0"/>
              </w:rPr>
              <w:t xml:space="preserve">Have the students do the listening activity p. 26 and write sentences p. 27</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w:t>
            </w:r>
          </w:p>
          <w:p w:rsidP="00000000" w:rsidRPr="00000000" w:rsidR="00000000" w:rsidDel="00000000" w:rsidRDefault="00000000">
            <w:pPr>
              <w:spacing w:lineRule="auto" w:after="0" w:line="240"/>
              <w:contextualSpacing w:val="0"/>
              <w:rPr/>
            </w:pPr>
            <w:r w:rsidRPr="00000000" w:rsidR="00000000" w:rsidDel="00000000">
              <w:rPr>
                <w:rtl w:val="0"/>
              </w:rPr>
              <w:t xml:space="preserve">English in Action 3</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#1</w:t>
            </w:r>
          </w:p>
          <w:p w:rsidP="00000000" w:rsidRPr="00000000" w:rsidR="00000000" w:rsidDel="00000000" w:rsidRDefault="00000000">
            <w:pPr>
              <w:spacing w:lineRule="auto" w:after="0" w:line="240"/>
              <w:contextualSpacing w:val="0"/>
              <w:rPr/>
            </w:pPr>
            <w:r w:rsidRPr="00000000" w:rsidR="00000000" w:rsidDel="00000000">
              <w:rPr>
                <w:rtl w:val="0"/>
              </w:rPr>
              <w:t xml:space="preserve">spoken and written activity answers</w:t>
            </w:r>
          </w:p>
          <w:p w:rsidP="00000000" w:rsidRPr="00000000" w:rsidR="00000000" w:rsidDel="00000000" w:rsidRDefault="00000000">
            <w:pPr>
              <w:spacing w:lineRule="auto" w:after="0" w:line="240"/>
              <w:contextualSpacing w:val="0"/>
              <w:rPr/>
            </w:pPr>
            <w:r w:rsidRPr="00000000" w:rsidR="00000000" w:rsidDel="00000000">
              <w:rPr>
                <w:rtl w:val="0"/>
              </w:rPr>
            </w:r>
          </w:p>
        </w:tc>
      </w:tr>
      <w:tr>
        <w:trPr>
          <w:trHeight w:val="900" w:hRule="atLeast"/>
        </w:trP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When do you use simple present? How would you talk about traditions?</w:t>
            </w:r>
          </w:p>
        </w:tc>
      </w:tr>
      <w:tr>
        <w:tc>
          <w:tcPr>
            <w:tcMar>
              <w:left w:w="108.0" w:type="dxa"/>
              <w:right w:w="108.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#2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Read an article and identify main ideas, details, new vocabulary</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#2 (Students will know that…)</w:t>
            </w:r>
          </w:p>
          <w:p w:rsidP="00000000" w:rsidRPr="00000000" w:rsidR="00000000" w:rsidDel="00000000" w:rsidRDefault="00000000">
            <w:pPr>
              <w:spacing w:lineRule="auto" w:after="0" w:line="240"/>
              <w:contextualSpacing w:val="0"/>
            </w:pPr>
            <w:r w:rsidRPr="00000000" w:rsidR="00000000" w:rsidDel="00000000">
              <w:rPr>
                <w:rtl w:val="0"/>
              </w:rPr>
              <w:t xml:space="preserve">how the Chinese celebrate the new year, how other cultures celebrate differently</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pPr>
            <w:r w:rsidRPr="00000000" w:rsidR="00000000" w:rsidDel="00000000">
              <w:rPr>
                <w:rtl w:val="0"/>
              </w:rPr>
              <w:t xml:space="preserve">R1.4b, R1.4d, R2.4d</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3"/>
              </w:numPr>
              <w:spacing w:lineRule="auto" w:after="0" w:line="240"/>
              <w:ind w:left="720" w:hanging="359"/>
              <w:contextualSpacing w:val="1"/>
              <w:rPr/>
            </w:pPr>
            <w:r w:rsidRPr="00000000" w:rsidR="00000000" w:rsidDel="00000000">
              <w:rPr>
                <w:rtl w:val="0"/>
              </w:rPr>
              <w:t xml:space="preserve">Pass out copies of “Happy New Year,” preview the text together, context clues</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Have the students read silently first, then do choral read of the article, check comprehension</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Work in pairs on vocabulary, main ideas, details</w:t>
            </w:r>
          </w:p>
          <w:p w:rsidP="00000000" w:rsidRPr="00000000" w:rsidR="00000000" w:rsidDel="00000000" w:rsidRDefault="00000000">
            <w:pPr>
              <w:numPr>
                <w:ilvl w:val="0"/>
                <w:numId w:val="3"/>
              </w:numPr>
              <w:spacing w:lineRule="auto" w:after="0" w:line="240"/>
              <w:ind w:left="720" w:hanging="359"/>
              <w:contextualSpacing w:val="1"/>
              <w:rPr>
                <w:u w:val="none"/>
              </w:rPr>
            </w:pPr>
            <w:r w:rsidRPr="00000000" w:rsidR="00000000" w:rsidDel="00000000">
              <w:rPr>
                <w:rtl w:val="0"/>
              </w:rPr>
              <w:t xml:space="preserve">Put the students into groups of three for the discussion questions, follow up as a class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 #2</w:t>
            </w:r>
          </w:p>
          <w:p w:rsidP="00000000" w:rsidRPr="00000000" w:rsidR="00000000" w:rsidDel="00000000" w:rsidRDefault="00000000">
            <w:pPr>
              <w:spacing w:lineRule="auto" w:after="0" w:line="240"/>
              <w:contextualSpacing w:val="0"/>
            </w:pPr>
            <w:r w:rsidRPr="00000000" w:rsidR="00000000" w:rsidDel="00000000">
              <w:rPr>
                <w:rtl w:val="0"/>
              </w:rPr>
              <w:t xml:space="preserve">“Happy New Year” from Weaving it Together</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#2</w:t>
            </w:r>
          </w:p>
          <w:p w:rsidP="00000000" w:rsidRPr="00000000" w:rsidR="00000000" w:rsidDel="00000000" w:rsidRDefault="00000000">
            <w:pPr>
              <w:spacing w:lineRule="auto" w:after="0" w:line="240"/>
              <w:contextualSpacing w:val="0"/>
            </w:pPr>
            <w:r w:rsidRPr="00000000" w:rsidR="00000000" w:rsidDel="00000000">
              <w:rPr>
                <w:rtl w:val="0"/>
              </w:rPr>
              <w:t xml:space="preserve">activity answers, spoken conversations</w:t>
            </w:r>
          </w:p>
          <w:p w:rsidP="00000000" w:rsidRPr="00000000" w:rsidR="00000000" w:rsidDel="00000000" w:rsidRDefault="00000000">
            <w:pPr>
              <w:spacing w:lineRule="auto" w:after="0" w:line="240"/>
              <w:contextualSpacing w:val="0"/>
              <w:rPr/>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Why is the new year important? What does it mean to people?</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Skill Objective #3 (Students will be able to…)</w:t>
            </w:r>
          </w:p>
          <w:p w:rsidP="00000000" w:rsidRPr="00000000" w:rsidR="00000000" w:rsidDel="00000000" w:rsidRDefault="00000000">
            <w:pPr>
              <w:spacing w:lineRule="auto" w:after="0" w:line="240"/>
              <w:contextualSpacing w:val="0"/>
            </w:pPr>
            <w:r w:rsidRPr="00000000" w:rsidR="00000000" w:rsidDel="00000000">
              <w:rPr>
                <w:rtl w:val="0"/>
              </w:rPr>
              <w:t xml:space="preserve">write a page about New Years using correct format, capitalization, punctuation</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Content Objective #1 (Students will know that…)</w:t>
            </w:r>
          </w:p>
          <w:p w:rsidP="00000000" w:rsidRPr="00000000" w:rsidR="00000000" w:rsidDel="00000000" w:rsidRDefault="00000000">
            <w:pPr>
              <w:spacing w:lineRule="auto" w:after="0" w:line="240"/>
              <w:contextualSpacing w:val="0"/>
            </w:pPr>
            <w:r w:rsidRPr="00000000" w:rsidR="00000000" w:rsidDel="00000000">
              <w:rPr>
                <w:rtl w:val="0"/>
              </w:rPr>
              <w:t xml:space="preserve">New Years celebrations around the world, personal meaning</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Frameworks:</w:t>
            </w:r>
          </w:p>
          <w:p w:rsidP="00000000" w:rsidRPr="00000000" w:rsidR="00000000" w:rsidDel="00000000" w:rsidRDefault="00000000">
            <w:pPr>
              <w:spacing w:lineRule="auto" w:after="0" w:line="240"/>
              <w:contextualSpacing w:val="0"/>
            </w:pPr>
            <w:r w:rsidRPr="00000000" w:rsidR="00000000" w:rsidDel="00000000">
              <w:rPr>
                <w:rtl w:val="0"/>
              </w:rPr>
              <w:t xml:space="preserve">W1.4d, W2.4b, W2.4c, W3.4c</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Activities</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Review writing skills-capitalization, punctuation, sentence order</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Go back to the beginning article, ask students how it is formatted (title, spacing, indenting)</w:t>
            </w:r>
          </w:p>
          <w:p w:rsidP="00000000" w:rsidRPr="00000000" w:rsidR="00000000" w:rsidDel="00000000" w:rsidRDefault="00000000">
            <w:pPr>
              <w:numPr>
                <w:ilvl w:val="0"/>
                <w:numId w:val="1"/>
              </w:numPr>
              <w:spacing w:lineRule="auto" w:after="0" w:line="240"/>
              <w:ind w:left="720" w:hanging="359"/>
              <w:contextualSpacing w:val="1"/>
              <w:rPr>
                <w:u w:val="none"/>
              </w:rPr>
            </w:pPr>
            <w:r w:rsidRPr="00000000" w:rsidR="00000000" w:rsidDel="00000000">
              <w:rPr>
                <w:rtl w:val="0"/>
              </w:rPr>
              <w:t xml:space="preserve">Assign the students to write a paper about how people celebrate New Years in their country, and how they personally observe the new year, make sure they follow correct format and writing mechanics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Materials</w:t>
            </w:r>
          </w:p>
          <w:p w:rsidP="00000000" w:rsidRPr="00000000" w:rsidR="00000000" w:rsidDel="00000000" w:rsidRDefault="00000000">
            <w:pPr>
              <w:spacing w:lineRule="auto" w:after="0" w:line="240"/>
              <w:contextualSpacing w:val="0"/>
            </w:pPr>
            <w:r w:rsidRPr="00000000" w:rsidR="00000000" w:rsidDel="00000000">
              <w:rPr>
                <w:rtl w:val="0"/>
              </w:rPr>
              <w:t xml:space="preserve">“Happy New Year”</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Assessment #1</w:t>
            </w:r>
          </w:p>
          <w:p w:rsidP="00000000" w:rsidRPr="00000000" w:rsidR="00000000" w:rsidDel="00000000" w:rsidRDefault="00000000">
            <w:pPr>
              <w:spacing w:lineRule="auto" w:after="0" w:line="240"/>
              <w:contextualSpacing w:val="0"/>
            </w:pPr>
            <w:r w:rsidRPr="00000000" w:rsidR="00000000" w:rsidDel="00000000">
              <w:rPr>
                <w:rtl w:val="0"/>
              </w:rPr>
              <w:t xml:space="preserve">Homework--paper about New Year’s celebrations</w:t>
            </w:r>
          </w:p>
          <w:p w:rsidP="00000000" w:rsidRPr="00000000" w:rsidR="00000000" w:rsidDel="00000000" w:rsidRDefault="00000000">
            <w:pPr>
              <w:spacing w:lineRule="auto" w:after="0" w:line="24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Wrap Up Reflection</w:t>
            </w:r>
          </w:p>
          <w:p w:rsidP="00000000" w:rsidRPr="00000000" w:rsidR="00000000" w:rsidDel="00000000" w:rsidRDefault="00000000">
            <w:pPr>
              <w:spacing w:lineRule="auto" w:after="0" w:line="240"/>
              <w:contextualSpacing w:val="0"/>
            </w:pPr>
            <w:r w:rsidRPr="00000000" w:rsidR="00000000" w:rsidDel="00000000">
              <w:rPr>
                <w:rtl w:val="0"/>
              </w:rPr>
              <w:t xml:space="preserve">Today we’ve reviewed simple present, writing mechanics</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lesson plan 1/15 MJ.docx</dc:title>
</cp:coreProperties>
</file>