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A2B" w:rsidRDefault="00AE7BDD">
      <w:pPr>
        <w:pStyle w:val="normal0"/>
      </w:pPr>
      <w:r>
        <w:rPr>
          <w:rFonts w:ascii="Arial" w:eastAsia="Arial" w:hAnsi="Arial" w:cs="Arial"/>
          <w:sz w:val="22"/>
          <w:szCs w:val="22"/>
        </w:rPr>
        <w:t>Class: Level 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Teacher: Mary McCaffrey</w:t>
      </w:r>
    </w:p>
    <w:p w:rsidR="002B1A2B" w:rsidRDefault="00AE7BDD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Theme/Lesson: Community Health/Research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Date: Week of November 10-12, 2015</w:t>
      </w:r>
    </w:p>
    <w:p w:rsidR="002B1A2B" w:rsidRDefault="00AE7BDD">
      <w:pPr>
        <w:pStyle w:val="normal0"/>
      </w:pPr>
      <w:r>
        <w:rPr>
          <w:rFonts w:ascii="Arial" w:eastAsia="Arial" w:hAnsi="Arial" w:cs="Arial"/>
          <w:b/>
          <w:sz w:val="22"/>
          <w:szCs w:val="22"/>
          <w:u w:val="single"/>
        </w:rPr>
        <w:t>LESSON OBJECTIVE(S)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2B1A2B" w:rsidRDefault="002B1A2B">
      <w:pPr>
        <w:pStyle w:val="normal0"/>
      </w:pPr>
    </w:p>
    <w:tbl>
      <w:tblPr>
        <w:tblStyle w:val="a"/>
        <w:tblW w:w="14625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70"/>
        <w:gridCol w:w="5955"/>
      </w:tblGrid>
      <w:tr w:rsidR="002B1A2B">
        <w:tc>
          <w:tcPr>
            <w:tcW w:w="8670" w:type="dxa"/>
          </w:tcPr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Content Objective(s) </w:t>
            </w:r>
            <w:r>
              <w:rPr>
                <w:rFonts w:ascii="Arial" w:eastAsia="Arial" w:hAnsi="Arial" w:cs="Arial"/>
                <w:sz w:val="22"/>
                <w:szCs w:val="22"/>
              </w:rPr>
              <w:t>(Students will know that….)</w:t>
            </w:r>
          </w:p>
        </w:tc>
        <w:tc>
          <w:tcPr>
            <w:tcW w:w="5955" w:type="dxa"/>
          </w:tcPr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ELL or ABE/ASE Frameworks Strands &amp; Standards</w:t>
            </w:r>
          </w:p>
        </w:tc>
      </w:tr>
      <w:tr w:rsidR="002B1A2B">
        <w:trPr>
          <w:trHeight w:val="1620"/>
        </w:trPr>
        <w:tc>
          <w:tcPr>
            <w:tcW w:w="8670" w:type="dxa"/>
          </w:tcPr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Students will learn about the social determinants of health</w:t>
            </w:r>
          </w:p>
          <w:p w:rsidR="002B1A2B" w:rsidRDefault="002B1A2B">
            <w:pPr>
              <w:pStyle w:val="normal0"/>
            </w:pPr>
          </w:p>
          <w:p w:rsidR="002B1A2B" w:rsidRDefault="002B1A2B">
            <w:pPr>
              <w:pStyle w:val="normal0"/>
            </w:pPr>
          </w:p>
        </w:tc>
        <w:tc>
          <w:tcPr>
            <w:tcW w:w="5955" w:type="dxa"/>
            <w:vMerge w:val="restart"/>
          </w:tcPr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L1.6b Listen and understand basic information on new or unfamiliar topics  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L2.6d Apply knowledge of inflections, prefixes, and suffixes to infer meaning of unfamiliar words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in context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L3.5b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Clarify and confirm accuracy of information by summarizing, rephrasing, or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repeating back what is understood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S1.6b Elaborate on complex ideas, both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their own and others’ (e.g. use examples,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explanations and descriptions) 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S1.5c Express consequences,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nferences, and cause and effect (e.g. She’s not here; I think her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baby Nami is sick today.)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R1.5b Identify and analyze cause/effect information  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R1.6d Make inferences and draw conclusions 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W1.6d Paraphrase or summarize information received orally, graphically, orfrom a written text</w:t>
            </w:r>
          </w:p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W1.5a Explain ideas, opinions, problems, or plans in some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detail  </w:t>
            </w:r>
          </w:p>
          <w:p w:rsidR="002B1A2B" w:rsidRDefault="002B1A2B">
            <w:pPr>
              <w:pStyle w:val="normal0"/>
            </w:pPr>
          </w:p>
          <w:p w:rsidR="002B1A2B" w:rsidRDefault="002B1A2B">
            <w:pPr>
              <w:pStyle w:val="normal0"/>
            </w:pPr>
          </w:p>
          <w:p w:rsidR="002B1A2B" w:rsidRDefault="002B1A2B">
            <w:pPr>
              <w:pStyle w:val="normal0"/>
            </w:pPr>
          </w:p>
        </w:tc>
      </w:tr>
      <w:tr w:rsidR="002B1A2B">
        <w:trPr>
          <w:trHeight w:val="1600"/>
        </w:trPr>
        <w:tc>
          <w:tcPr>
            <w:tcW w:w="8670" w:type="dxa"/>
          </w:tcPr>
          <w:p w:rsidR="002B1A2B" w:rsidRDefault="002B1A2B">
            <w:pPr>
              <w:pStyle w:val="normal0"/>
            </w:pP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Students will be able to use new language to identify and assess the health of their </w:t>
            </w:r>
            <w:r>
              <w:rPr>
                <w:rFonts w:ascii="Arial" w:eastAsia="Arial" w:hAnsi="Arial" w:cs="Arial"/>
                <w:sz w:val="22"/>
                <w:szCs w:val="22"/>
              </w:rPr>
              <w:t>communities</w:t>
            </w:r>
          </w:p>
          <w:p w:rsidR="002B1A2B" w:rsidRDefault="002B1A2B">
            <w:pPr>
              <w:pStyle w:val="normal0"/>
            </w:pPr>
          </w:p>
        </w:tc>
        <w:tc>
          <w:tcPr>
            <w:tcW w:w="0" w:type="auto"/>
            <w:vMerge/>
          </w:tcPr>
          <w:p w:rsidR="002B1A2B" w:rsidRDefault="002B1A2B">
            <w:pPr>
              <w:pStyle w:val="normal0"/>
            </w:pPr>
          </w:p>
        </w:tc>
      </w:tr>
      <w:tr w:rsidR="002B1A2B">
        <w:tc>
          <w:tcPr>
            <w:tcW w:w="8670" w:type="dxa"/>
          </w:tcPr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Skill Objective(s) </w:t>
            </w:r>
            <w:r>
              <w:rPr>
                <w:rFonts w:ascii="Arial" w:eastAsia="Arial" w:hAnsi="Arial" w:cs="Arial"/>
                <w:sz w:val="22"/>
                <w:szCs w:val="22"/>
              </w:rPr>
              <w:t>(Students will be able to…)</w:t>
            </w:r>
          </w:p>
        </w:tc>
        <w:tc>
          <w:tcPr>
            <w:tcW w:w="0" w:type="auto"/>
            <w:vMerge/>
          </w:tcPr>
          <w:p w:rsidR="002B1A2B" w:rsidRDefault="002B1A2B">
            <w:pPr>
              <w:pStyle w:val="normal0"/>
            </w:pPr>
          </w:p>
        </w:tc>
      </w:tr>
      <w:tr w:rsidR="002B1A2B">
        <w:trPr>
          <w:trHeight w:val="1940"/>
        </w:trPr>
        <w:tc>
          <w:tcPr>
            <w:tcW w:w="8670" w:type="dxa"/>
          </w:tcPr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Reading and Writing </w:t>
            </w:r>
          </w:p>
          <w:p w:rsidR="002B1A2B" w:rsidRDefault="00AE7BDD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Scan a dense document for specific information</w:t>
            </w:r>
          </w:p>
          <w:p w:rsidR="002B1A2B" w:rsidRDefault="00AE7BDD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Read and understand data presented in a graph/chart </w:t>
            </w:r>
          </w:p>
          <w:p w:rsidR="002B1A2B" w:rsidRDefault="00AE7BDD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Make inferences </w:t>
            </w:r>
          </w:p>
          <w:p w:rsidR="002B1A2B" w:rsidRDefault="00AE7BDD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Summarize </w:t>
            </w:r>
          </w:p>
        </w:tc>
        <w:tc>
          <w:tcPr>
            <w:tcW w:w="0" w:type="auto"/>
            <w:vMerge/>
          </w:tcPr>
          <w:p w:rsidR="002B1A2B" w:rsidRDefault="002B1A2B">
            <w:pPr>
              <w:pStyle w:val="normal0"/>
            </w:pPr>
          </w:p>
        </w:tc>
      </w:tr>
      <w:tr w:rsidR="002B1A2B">
        <w:trPr>
          <w:trHeight w:val="2600"/>
        </w:trPr>
        <w:tc>
          <w:tcPr>
            <w:tcW w:w="8670" w:type="dxa"/>
          </w:tcPr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Internet Research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Do internet research </w:t>
            </w:r>
          </w:p>
          <w:p w:rsidR="002B1A2B" w:rsidRDefault="00AE7BDD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2. Identify source and assess validity of source</w:t>
            </w:r>
          </w:p>
          <w:p w:rsidR="002B1A2B" w:rsidRDefault="002B1A2B">
            <w:pPr>
              <w:pStyle w:val="normal0"/>
            </w:pPr>
          </w:p>
        </w:tc>
        <w:tc>
          <w:tcPr>
            <w:tcW w:w="0" w:type="auto"/>
            <w:vMerge/>
          </w:tcPr>
          <w:p w:rsidR="002B1A2B" w:rsidRDefault="002B1A2B">
            <w:pPr>
              <w:pStyle w:val="normal0"/>
            </w:pPr>
          </w:p>
        </w:tc>
      </w:tr>
    </w:tbl>
    <w:p w:rsidR="002B1A2B" w:rsidRDefault="002B1A2B">
      <w:pPr>
        <w:pStyle w:val="normal0"/>
      </w:pPr>
    </w:p>
    <w:p w:rsidR="002B1A2B" w:rsidRDefault="002B1A2B">
      <w:pPr>
        <w:pStyle w:val="normal0"/>
        <w:ind w:left="7005" w:hanging="7005"/>
      </w:pPr>
    </w:p>
    <w:p w:rsidR="002B1A2B" w:rsidRDefault="00AE7BDD">
      <w:pPr>
        <w:pStyle w:val="normal0"/>
      </w:pPr>
      <w:r>
        <w:rPr>
          <w:rFonts w:ascii="Arial" w:eastAsia="Arial" w:hAnsi="Arial" w:cs="Arial"/>
          <w:b/>
          <w:sz w:val="22"/>
          <w:szCs w:val="22"/>
          <w:u w:val="single"/>
        </w:rPr>
        <w:t>ACTIVITIES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>MATERIALS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2B1A2B" w:rsidRDefault="00AE7BDD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</w:t>
      </w:r>
    </w:p>
    <w:tbl>
      <w:tblPr>
        <w:tblStyle w:val="a0"/>
        <w:tblW w:w="13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7"/>
        <w:gridCol w:w="6804"/>
      </w:tblGrid>
      <w:tr w:rsidR="002B1A2B">
        <w:trPr>
          <w:trHeight w:val="2640"/>
        </w:trPr>
        <w:tc>
          <w:tcPr>
            <w:tcW w:w="6948" w:type="dxa"/>
          </w:tcPr>
          <w:p w:rsidR="002B1A2B" w:rsidRDefault="002B1A2B">
            <w:pPr>
              <w:pStyle w:val="normal0"/>
              <w:contextualSpacing w:val="0"/>
            </w:pP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Reflect on the health of your community: health of residents, access to green spaces, transportation infrastructure, safety, etc. </w:t>
            </w: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Elicit list of criteria for “healthy communities” </w:t>
            </w: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Read and discuss - “The Prevention Parable” </w:t>
            </w: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Draw connections between the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parable and solutions to improving the health of communities. </w:t>
            </w: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 the computer lab introduce the document “The Well Being of Somerville Report 2011” </w:t>
            </w: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is a social determinant of health? Using tables Identify shifting race, age, ethnicity and income dem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ographics as well as data on access to employment and the natural environment and discuss connections to health of individuals living in Somerville and overall community health.   </w:t>
            </w:r>
          </w:p>
          <w:p w:rsidR="002B1A2B" w:rsidRDefault="00AE7BDD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 students to read and summarize one of the 8 indicators of health sta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rting on page 57 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Access to Healthcare 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Physical Activity &amp; Nutrition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Tobacco Use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Substance Abuse 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Mental Health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Reproductive &amp; Sexual Health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Violence</w:t>
            </w:r>
          </w:p>
          <w:p w:rsidR="002B1A2B" w:rsidRDefault="00AE7BDD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Chronic Disease</w:t>
            </w:r>
          </w:p>
          <w:p w:rsidR="002B1A2B" w:rsidRDefault="00AE7BDD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Share summaries </w:t>
            </w:r>
          </w:p>
          <w:p w:rsidR="002B1A2B" w:rsidRDefault="00AE7BDD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9. Show sample questionnaire. Students use info from summaries to dev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elop community health questionnaire. </w:t>
            </w: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</w:tc>
        <w:tc>
          <w:tcPr>
            <w:tcW w:w="6804" w:type="dxa"/>
          </w:tcPr>
          <w:p w:rsidR="002B1A2B" w:rsidRDefault="002B1A2B">
            <w:pPr>
              <w:pStyle w:val="normal0"/>
              <w:contextualSpacing w:val="0"/>
            </w:pPr>
          </w:p>
          <w:p w:rsidR="002B1A2B" w:rsidRDefault="00AE7BDD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Well Being of Somerville Report 2011 </w:t>
            </w:r>
          </w:p>
          <w:p w:rsidR="002B1A2B" w:rsidRDefault="002B1A2B">
            <w:pPr>
              <w:pStyle w:val="normal0"/>
              <w:contextualSpacing w:val="0"/>
            </w:pPr>
            <w:hyperlink r:id="rId5">
              <w:r w:rsidR="00AE7BDD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http://www.challiance.org/Resource.ashx?sn=CommunityAffairsSomWellBeingReport2011</w:t>
              </w:r>
            </w:hyperlink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</w:tc>
      </w:tr>
    </w:tbl>
    <w:p w:rsidR="002B1A2B" w:rsidRDefault="002B1A2B">
      <w:pPr>
        <w:pStyle w:val="normal0"/>
      </w:pPr>
    </w:p>
    <w:p w:rsidR="002B1A2B" w:rsidRDefault="002B1A2B">
      <w:pPr>
        <w:pStyle w:val="normal0"/>
      </w:pPr>
    </w:p>
    <w:p w:rsidR="002B1A2B" w:rsidRDefault="002B1A2B">
      <w:pPr>
        <w:pStyle w:val="normal0"/>
      </w:pPr>
    </w:p>
    <w:p w:rsidR="002B1A2B" w:rsidRDefault="00AE7BDD">
      <w:pPr>
        <w:pStyle w:val="normal0"/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ASSESSMENT(S): </w:t>
      </w:r>
    </w:p>
    <w:p w:rsidR="002B1A2B" w:rsidRDefault="002B1A2B">
      <w:pPr>
        <w:pStyle w:val="normal0"/>
      </w:pPr>
    </w:p>
    <w:tbl>
      <w:tblPr>
        <w:tblStyle w:val="a1"/>
        <w:tblW w:w="137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76"/>
        <w:gridCol w:w="6876"/>
      </w:tblGrid>
      <w:tr w:rsidR="002B1A2B">
        <w:trPr>
          <w:trHeight w:val="2000"/>
        </w:trPr>
        <w:tc>
          <w:tcPr>
            <w:tcW w:w="6876" w:type="dxa"/>
          </w:tcPr>
          <w:p w:rsidR="002B1A2B" w:rsidRDefault="002B1A2B">
            <w:pPr>
              <w:pStyle w:val="normal0"/>
              <w:contextualSpacing w:val="0"/>
            </w:pPr>
          </w:p>
          <w:p w:rsidR="002B1A2B" w:rsidRDefault="00AE7BDD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Performance </w:t>
            </w:r>
          </w:p>
          <w:p w:rsidR="002B1A2B" w:rsidRDefault="00AE7BDD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Students will demonstrate understanding of material by answering questions related to the graphs/charts, drawing inferences to content objectives, and accurately Summarizing. </w:t>
            </w: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</w:tc>
        <w:tc>
          <w:tcPr>
            <w:tcW w:w="6876" w:type="dxa"/>
          </w:tcPr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</w:tc>
      </w:tr>
    </w:tbl>
    <w:p w:rsidR="002B1A2B" w:rsidRDefault="002B1A2B">
      <w:pPr>
        <w:pStyle w:val="normal0"/>
      </w:pPr>
    </w:p>
    <w:p w:rsidR="002B1A2B" w:rsidRDefault="002B1A2B">
      <w:pPr>
        <w:pStyle w:val="normal0"/>
        <w:jc w:val="right"/>
      </w:pPr>
    </w:p>
    <w:p w:rsidR="002B1A2B" w:rsidRDefault="00AE7BDD">
      <w:pPr>
        <w:pStyle w:val="normal0"/>
      </w:pPr>
      <w:r>
        <w:rPr>
          <w:rFonts w:ascii="Arial" w:eastAsia="Arial" w:hAnsi="Arial" w:cs="Arial"/>
          <w:b/>
          <w:sz w:val="22"/>
          <w:szCs w:val="22"/>
          <w:u w:val="single"/>
        </w:rPr>
        <w:t>WRAP-UP &amp; REFLECTION:</w:t>
      </w:r>
    </w:p>
    <w:p w:rsidR="002B1A2B" w:rsidRDefault="002B1A2B">
      <w:pPr>
        <w:pStyle w:val="normal0"/>
        <w:jc w:val="right"/>
      </w:pPr>
    </w:p>
    <w:tbl>
      <w:tblPr>
        <w:tblStyle w:val="a2"/>
        <w:tblW w:w="137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52"/>
      </w:tblGrid>
      <w:tr w:rsidR="002B1A2B">
        <w:tc>
          <w:tcPr>
            <w:tcW w:w="13752" w:type="dxa"/>
          </w:tcPr>
          <w:p w:rsidR="002B1A2B" w:rsidRDefault="002B1A2B">
            <w:pPr>
              <w:pStyle w:val="normal0"/>
              <w:contextualSpacing w:val="0"/>
            </w:pPr>
          </w:p>
          <w:p w:rsidR="002B1A2B" w:rsidRDefault="00AE7BDD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Return to Parable and identify “solutions” for the 8 health indicators.</w:t>
            </w: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</w:pPr>
          </w:p>
          <w:p w:rsidR="002B1A2B" w:rsidRDefault="002B1A2B">
            <w:pPr>
              <w:pStyle w:val="normal0"/>
              <w:contextualSpacing w:val="0"/>
              <w:jc w:val="right"/>
            </w:pPr>
          </w:p>
        </w:tc>
      </w:tr>
    </w:tbl>
    <w:p w:rsidR="002B1A2B" w:rsidRDefault="002B1A2B">
      <w:pPr>
        <w:pStyle w:val="normal0"/>
        <w:jc w:val="right"/>
      </w:pPr>
    </w:p>
    <w:sectPr w:rsidR="002B1A2B" w:rsidSect="002B1A2B">
      <w:pgSz w:w="15840" w:h="12240"/>
      <w:pgMar w:top="720" w:right="1008" w:bottom="720" w:left="10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1A"/>
    <w:multiLevelType w:val="multilevel"/>
    <w:tmpl w:val="0538B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EB52D2F"/>
    <w:multiLevelType w:val="multilevel"/>
    <w:tmpl w:val="ABEE68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EA76B61"/>
    <w:multiLevelType w:val="multilevel"/>
    <w:tmpl w:val="707A97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67779E4"/>
    <w:multiLevelType w:val="multilevel"/>
    <w:tmpl w:val="EABCCB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2B1A2B"/>
    <w:rsid w:val="002B1A2B"/>
    <w:rsid w:val="00AE7B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1A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B1A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B1A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1A2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B1A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B1A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B1A2B"/>
  </w:style>
  <w:style w:type="paragraph" w:styleId="Title">
    <w:name w:val="Title"/>
    <w:basedOn w:val="normal0"/>
    <w:next w:val="normal0"/>
    <w:rsid w:val="002B1A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B1A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1A2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B1A2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B1A2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B1A2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lliance.org/Resource.ashx?sn=CommunityAffairsSomWellBeingReport201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Macintosh Word</Application>
  <DocSecurity>0</DocSecurity>
  <Lines>21</Lines>
  <Paragraphs>5</Paragraphs>
  <ScaleCrop>false</ScaleCrop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 McCaffrey </dc:creator>
  <cp:lastModifiedBy>Mary  McCaffrey </cp:lastModifiedBy>
  <cp:revision>2</cp:revision>
  <dcterms:created xsi:type="dcterms:W3CDTF">2015-11-09T11:43:00Z</dcterms:created>
  <dcterms:modified xsi:type="dcterms:W3CDTF">2015-11-09T11:43:00Z</dcterms:modified>
</cp:coreProperties>
</file>