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05F2" w14:textId="77777777" w:rsidR="00F63DCF" w:rsidRPr="00F63DCF" w:rsidRDefault="00F63DCF" w:rsidP="00F63D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005"/>
        <w:gridCol w:w="4590"/>
        <w:gridCol w:w="1080"/>
        <w:gridCol w:w="990"/>
      </w:tblGrid>
      <w:tr w:rsidR="00F63DCF" w:rsidRPr="00F63DCF" w14:paraId="6CABE147" w14:textId="77777777" w:rsidTr="00F63DCF">
        <w:trPr>
          <w:trHeight w:val="54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101F0" w14:textId="77777777" w:rsidR="00F63DCF" w:rsidRPr="00F63DCF" w:rsidRDefault="00F63DCF" w:rsidP="00F63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Before Reading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412AE" w14:textId="77777777" w:rsidR="00F63DCF" w:rsidRPr="00F63DCF" w:rsidRDefault="00F63DCF" w:rsidP="00F63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bCs/>
                <w:color w:val="000000"/>
                <w:sz w:val="28"/>
                <w:szCs w:val="28"/>
              </w:rPr>
              <w:t>What do you know?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D636C" w14:textId="77777777" w:rsidR="00F63DCF" w:rsidRPr="00F63DCF" w:rsidRDefault="00F63DCF" w:rsidP="00F63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After Reading</w:t>
            </w:r>
          </w:p>
        </w:tc>
      </w:tr>
      <w:tr w:rsidR="00F63DCF" w:rsidRPr="00F63DCF" w14:paraId="22E0B1DC" w14:textId="77777777" w:rsidTr="00F63DC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E3FBB" w14:textId="77777777" w:rsidR="00F63DCF" w:rsidRPr="00F63DCF" w:rsidRDefault="00F63DCF" w:rsidP="00F63DCF">
            <w:pPr>
              <w:spacing w:line="0" w:lineRule="atLeast"/>
              <w:ind w:right="-112"/>
              <w:jc w:val="center"/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True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FA1CF" w14:textId="77777777" w:rsidR="00F63DCF" w:rsidRPr="00F63DCF" w:rsidRDefault="00F63DCF" w:rsidP="00F63DCF">
            <w:pPr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False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F3080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4A872" w14:textId="77777777" w:rsidR="00F63DCF" w:rsidRPr="00F63DCF" w:rsidRDefault="00F63DCF" w:rsidP="00F63DCF">
            <w:pPr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True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EE053" w14:textId="77777777" w:rsidR="00F63DCF" w:rsidRPr="00F63DCF" w:rsidRDefault="00F63DCF" w:rsidP="00F63DCF">
            <w:pPr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False</w:t>
            </w:r>
          </w:p>
        </w:tc>
      </w:tr>
      <w:tr w:rsidR="00F63DCF" w:rsidRPr="00F63DCF" w14:paraId="01416E2C" w14:textId="77777777" w:rsidTr="00F63DC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4195E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DF9D3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5E2D9" w14:textId="56C6BF86" w:rsidR="00F63DCF" w:rsidRPr="00F63DCF" w:rsidRDefault="00F63DCF" w:rsidP="00F63DCF">
            <w:pPr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1.Novice learners overestimate their level of performance.</w:t>
            </w:r>
          </w:p>
          <w:p w14:paraId="44DC9ECF" w14:textId="77777777" w:rsidR="00F63DCF" w:rsidRPr="00F63DCF" w:rsidRDefault="00F63DCF" w:rsidP="00F63DCF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54E54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AD244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</w:tr>
      <w:tr w:rsidR="00F63DCF" w:rsidRPr="00F63DCF" w14:paraId="64ADF913" w14:textId="77777777" w:rsidTr="00F63DC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C3DF0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1039F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4AB21" w14:textId="798C680D" w:rsidR="00F63DCF" w:rsidRPr="00F63DCF" w:rsidRDefault="00F63DCF" w:rsidP="00F63DCF">
            <w:pPr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 xml:space="preserve">2. Readers who interrupt their reading to talk aloud about what they are reading have poor comprehension. </w:t>
            </w:r>
          </w:p>
          <w:p w14:paraId="2B25C597" w14:textId="77777777" w:rsidR="00F63DCF" w:rsidRPr="00F63DCF" w:rsidRDefault="00F63DCF" w:rsidP="00F63DCF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9F8F6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0E92A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</w:tr>
      <w:tr w:rsidR="00F63DCF" w:rsidRPr="00F63DCF" w14:paraId="1BBC61BC" w14:textId="77777777" w:rsidTr="00F63DC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941D2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EC8B1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5F901" w14:textId="1A80BA07" w:rsidR="00F63DCF" w:rsidRPr="00F63DCF" w:rsidRDefault="00F63DCF" w:rsidP="00F63DCF">
            <w:pPr>
              <w:rPr>
                <w:rFonts w:cs="Times New Roman"/>
                <w:sz w:val="20"/>
                <w:szCs w:val="20"/>
              </w:rPr>
            </w:pPr>
            <w:r w:rsidRPr="00F63DCF">
              <w:rPr>
                <w:rFonts w:cs="Times New Roman"/>
                <w:color w:val="000000"/>
              </w:rPr>
              <w:t>3.Teaching students to self-monitor improves student learning.</w:t>
            </w:r>
          </w:p>
          <w:p w14:paraId="28AE8461" w14:textId="77777777" w:rsidR="00F63DCF" w:rsidRPr="00F63DCF" w:rsidRDefault="00F63DCF" w:rsidP="00F63DCF">
            <w:pPr>
              <w:spacing w:after="24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93356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349A0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</w:tr>
      <w:tr w:rsidR="00F63DCF" w:rsidRPr="00F63DCF" w14:paraId="09E127F5" w14:textId="77777777" w:rsidTr="00F63DC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41A71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74AED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FDD5B" w14:textId="77777777" w:rsidR="00F63DCF" w:rsidRDefault="00F63DCF" w:rsidP="00F63DCF">
            <w:pPr>
              <w:rPr>
                <w:rFonts w:cs="Times New Roman"/>
                <w:color w:val="000000"/>
              </w:rPr>
            </w:pPr>
            <w:r w:rsidRPr="00F63DCF">
              <w:rPr>
                <w:rFonts w:cs="Times New Roman"/>
                <w:color w:val="000000"/>
              </w:rPr>
              <w:t>4.  Self-testing is a proven technique to enhance student learning.</w:t>
            </w:r>
          </w:p>
          <w:p w14:paraId="3B1BD782" w14:textId="77777777" w:rsidR="00F63DCF" w:rsidRDefault="00F63DCF" w:rsidP="00F63DCF">
            <w:pPr>
              <w:rPr>
                <w:rFonts w:cs="Times New Roman"/>
                <w:color w:val="000000"/>
              </w:rPr>
            </w:pPr>
          </w:p>
          <w:p w14:paraId="0CD232D4" w14:textId="1DC697CE" w:rsidR="00F63DCF" w:rsidRPr="00F63DCF" w:rsidRDefault="00F63DCF" w:rsidP="00F63DCF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4A27D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A8D73" w14:textId="77777777" w:rsidR="00F63DCF" w:rsidRPr="00F63DCF" w:rsidRDefault="00F63DCF" w:rsidP="00F63DCF">
            <w:pPr>
              <w:rPr>
                <w:rFonts w:eastAsia="Times New Roman" w:cs="Times New Roman"/>
                <w:sz w:val="1"/>
                <w:szCs w:val="20"/>
              </w:rPr>
            </w:pPr>
          </w:p>
        </w:tc>
      </w:tr>
    </w:tbl>
    <w:p w14:paraId="1F156F0C" w14:textId="77777777" w:rsidR="00CE437C" w:rsidRDefault="00CE437C"/>
    <w:p w14:paraId="68D7BD67" w14:textId="77777777" w:rsidR="00F63DCF" w:rsidRDefault="00F63DCF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br w:type="page"/>
      </w:r>
      <w:bookmarkStart w:id="0" w:name="_GoBack"/>
      <w:bookmarkEnd w:id="0"/>
    </w:p>
    <w:p w14:paraId="4305D7A6" w14:textId="181B42A0" w:rsidR="004B03EF" w:rsidRPr="004B03EF" w:rsidRDefault="004B03EF" w:rsidP="004B03EF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lastRenderedPageBreak/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 w:rsidRPr="004B03EF">
        <w:rPr>
          <w:b/>
          <w:bCs/>
          <w:iCs/>
          <w:sz w:val="32"/>
        </w:rPr>
        <w:t xml:space="preserve">Partner </w:t>
      </w:r>
      <w:r>
        <w:rPr>
          <w:b/>
          <w:bCs/>
          <w:iCs/>
          <w:sz w:val="32"/>
        </w:rPr>
        <w:t>A</w:t>
      </w:r>
    </w:p>
    <w:p w14:paraId="522EDBF6" w14:textId="77777777" w:rsidR="004B03EF" w:rsidRDefault="004B03EF" w:rsidP="00CE437C">
      <w:pPr>
        <w:rPr>
          <w:b/>
          <w:bCs/>
          <w:i/>
          <w:iCs/>
        </w:rPr>
      </w:pPr>
    </w:p>
    <w:p w14:paraId="1451D696" w14:textId="77777777" w:rsidR="00CE437C" w:rsidRPr="00CE437C" w:rsidRDefault="00CE437C" w:rsidP="00CE437C">
      <w:r w:rsidRPr="00CE437C">
        <w:rPr>
          <w:b/>
          <w:bCs/>
          <w:i/>
          <w:iCs/>
        </w:rPr>
        <w:t xml:space="preserve">Evaluating One’s Own Strengths and Weaknesses </w:t>
      </w:r>
    </w:p>
    <w:p w14:paraId="73340CC7" w14:textId="77777777" w:rsidR="00E5791D" w:rsidRDefault="00E5791D" w:rsidP="00CE437C"/>
    <w:p w14:paraId="66DC3CA8" w14:textId="72DD62E5" w:rsidR="00F40988" w:rsidRDefault="00CE437C" w:rsidP="00CE437C">
      <w:r w:rsidRPr="00CE437C">
        <w:t xml:space="preserve">Research has found that people in general have great difficulty recognizing their own strengths and weaknesses, and </w:t>
      </w:r>
      <w:r w:rsidR="006234D4">
        <w:t>novice learners</w:t>
      </w:r>
      <w:r w:rsidRPr="00CE437C">
        <w:t xml:space="preserve"> appear to be especially poor judges of their own knowledge and skills. </w:t>
      </w:r>
    </w:p>
    <w:p w14:paraId="3D41995D" w14:textId="77777777" w:rsidR="00F40988" w:rsidRDefault="00F40988" w:rsidP="00CE437C"/>
    <w:p w14:paraId="2C850C58" w14:textId="2A0FDA97" w:rsidR="009F6374" w:rsidRDefault="00CE437C" w:rsidP="00906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CE437C">
        <w:t>For example, when nursing students were asked about their proficiency i</w:t>
      </w:r>
      <w:r w:rsidR="002E696D">
        <w:t>n perform</w:t>
      </w:r>
      <w:r w:rsidRPr="00CE437C">
        <w:t xml:space="preserve">ing several basic procedures (such as inserting an IV), the majority of them </w:t>
      </w:r>
      <w:r w:rsidRPr="00CE437C">
        <w:rPr>
          <w:i/>
          <w:iCs/>
        </w:rPr>
        <w:t xml:space="preserve">overestimated </w:t>
      </w:r>
      <w:r w:rsidRPr="00CE437C">
        <w:t>their abilities r</w:t>
      </w:r>
      <w:r>
        <w:t>elative to their actual perfor</w:t>
      </w:r>
      <w:r w:rsidRPr="00CE437C">
        <w:t xml:space="preserve">mance. This phenomenon has been found in a variety of contexts (Dunning, 2007). </w:t>
      </w:r>
    </w:p>
    <w:p w14:paraId="18A55BB4" w14:textId="77777777" w:rsidR="00F40988" w:rsidRDefault="00F40988" w:rsidP="009065A4">
      <w:pPr>
        <w:ind w:left="720"/>
      </w:pPr>
    </w:p>
    <w:p w14:paraId="0094DCD2" w14:textId="29AD6EA5" w:rsidR="00BB332D" w:rsidRDefault="00CE437C" w:rsidP="00CE437C">
      <w:r w:rsidRPr="00CE437C">
        <w:t>Moreover, research suggests that the students with weaker knowledge and skills are</w:t>
      </w:r>
      <w:r w:rsidR="00E5791D">
        <w:t xml:space="preserve"> </w:t>
      </w:r>
      <w:r w:rsidR="002E696D">
        <w:t>less able to assess their abili</w:t>
      </w:r>
      <w:r w:rsidRPr="00CE437C">
        <w:t>ties than students with stronger skills.</w:t>
      </w:r>
    </w:p>
    <w:p w14:paraId="091DDDC9" w14:textId="77777777" w:rsidR="00BB332D" w:rsidRDefault="00BB332D" w:rsidP="00CE437C"/>
    <w:p w14:paraId="22A1E6F3" w14:textId="4B116BA4" w:rsidR="00CE437C" w:rsidRPr="00CE437C" w:rsidRDefault="00CE437C" w:rsidP="00906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CE437C">
        <w:t xml:space="preserve"> For example, when asked to predict their performance both before and after completing a test, students showed different levels of accuracy in their estimates, based on their </w:t>
      </w:r>
      <w:r w:rsidRPr="00CE437C">
        <w:rPr>
          <w:i/>
          <w:iCs/>
        </w:rPr>
        <w:t xml:space="preserve">actual </w:t>
      </w:r>
      <w:r w:rsidRPr="00CE437C">
        <w:t>performance: The highest-performing students accurate</w:t>
      </w:r>
      <w:r w:rsidR="009F6374">
        <w:t>ly predicted and estimated their performance</w:t>
      </w:r>
      <w:r w:rsidRPr="00CE437C">
        <w:t xml:space="preserve">, but the </w:t>
      </w:r>
      <w:r w:rsidR="00E5791D">
        <w:t>weak</w:t>
      </w:r>
      <w:r w:rsidRPr="00CE437C">
        <w:t xml:space="preserve"> students grossly overestimated their performance both before and after taking the test </w:t>
      </w:r>
      <w:r w:rsidR="00E5791D">
        <w:t>– placing themselves in the 68</w:t>
      </w:r>
      <w:r w:rsidR="00E5791D" w:rsidRPr="00E5791D">
        <w:rPr>
          <w:vertAlign w:val="superscript"/>
        </w:rPr>
        <w:t>th</w:t>
      </w:r>
      <w:r w:rsidR="00E5791D">
        <w:t xml:space="preserve"> percentile when their actual performance landed in the 11</w:t>
      </w:r>
      <w:r w:rsidR="00E5791D" w:rsidRPr="00E5791D">
        <w:rPr>
          <w:vertAlign w:val="superscript"/>
        </w:rPr>
        <w:t>th</w:t>
      </w:r>
      <w:r w:rsidR="00E5791D">
        <w:t xml:space="preserve"> percentile.  </w:t>
      </w:r>
      <w:proofErr w:type="gramStart"/>
      <w:r w:rsidRPr="00CE437C">
        <w:t>(Hacker et al., 2000).</w:t>
      </w:r>
      <w:proofErr w:type="gramEnd"/>
      <w:r w:rsidRPr="00CE437C">
        <w:t xml:space="preserve"> </w:t>
      </w:r>
    </w:p>
    <w:p w14:paraId="3825C36E" w14:textId="77777777" w:rsidR="00CE437C" w:rsidRDefault="00CE437C" w:rsidP="009065A4">
      <w:pPr>
        <w:ind w:left="720"/>
      </w:pPr>
    </w:p>
    <w:p w14:paraId="6A08C4BE" w14:textId="590D87FB" w:rsidR="00BB332D" w:rsidRDefault="00EE4FE0" w:rsidP="00622159">
      <w:pPr>
        <w:rPr>
          <w:rFonts w:ascii="Times" w:hAnsi="Times" w:cs="Times"/>
          <w:color w:val="000000"/>
          <w:position w:val="8"/>
          <w:sz w:val="13"/>
          <w:szCs w:val="13"/>
        </w:rPr>
      </w:pPr>
      <w:r>
        <w:t xml:space="preserve">Basically, </w:t>
      </w:r>
      <w:r w:rsidR="006234D4">
        <w:t>novice learners lack skills to improve because they are unable to distinguish between what they know and what they don’t know</w:t>
      </w:r>
      <w:r w:rsidR="00E5791D">
        <w:t xml:space="preserve"> [The Du</w:t>
      </w:r>
      <w:r>
        <w:t>n</w:t>
      </w:r>
      <w:r w:rsidR="00E5791D">
        <w:t>ning and Kruger Effect]</w:t>
      </w:r>
      <w:r w:rsidR="006234D4">
        <w:t xml:space="preserve">.  </w:t>
      </w:r>
      <w:r>
        <w:t>Many studies</w:t>
      </w:r>
      <w:r w:rsidR="00E5791D">
        <w:t xml:space="preserve"> </w:t>
      </w:r>
      <w:r w:rsidR="006234D4">
        <w:t xml:space="preserve">have also shown that novice learners can be taught to raise their competence by learning the skills to judge their own performance more accurately.  </w:t>
      </w:r>
      <w:r w:rsidR="00622159">
        <w:t>Indeed it has been found that t</w:t>
      </w:r>
      <w:r w:rsidR="00BB332D">
        <w:rPr>
          <w:rFonts w:ascii="Times" w:hAnsi="Times" w:cs="Times"/>
          <w:color w:val="000000"/>
        </w:rPr>
        <w:t xml:space="preserve">eachers can engage students in tasks </w:t>
      </w:r>
      <w:r w:rsidR="00622159">
        <w:rPr>
          <w:rFonts w:ascii="Times" w:hAnsi="Times" w:cs="Times"/>
          <w:color w:val="000000"/>
        </w:rPr>
        <w:t xml:space="preserve">(e.g., testing, self-testing, and explanation) </w:t>
      </w:r>
      <w:r w:rsidR="00BB332D">
        <w:rPr>
          <w:rFonts w:ascii="Times" w:hAnsi="Times" w:cs="Times"/>
          <w:color w:val="000000"/>
        </w:rPr>
        <w:t xml:space="preserve">that </w:t>
      </w:r>
      <w:r w:rsidR="00622159">
        <w:rPr>
          <w:rFonts w:ascii="Times" w:hAnsi="Times" w:cs="Times"/>
          <w:color w:val="000000"/>
        </w:rPr>
        <w:t xml:space="preserve">make it possible for students </w:t>
      </w:r>
      <w:r w:rsidR="00BB332D">
        <w:rPr>
          <w:rFonts w:ascii="Times" w:hAnsi="Times" w:cs="Times"/>
          <w:color w:val="000000"/>
        </w:rPr>
        <w:t>to reliably monitor their own learning.</w:t>
      </w:r>
      <w:r w:rsidR="00BB332D">
        <w:rPr>
          <w:rFonts w:ascii="Times" w:hAnsi="Times" w:cs="Times"/>
          <w:color w:val="000000"/>
          <w:position w:val="8"/>
          <w:sz w:val="13"/>
          <w:szCs w:val="13"/>
        </w:rPr>
        <w:t xml:space="preserve"> </w:t>
      </w:r>
    </w:p>
    <w:p w14:paraId="59D20B4F" w14:textId="77777777" w:rsidR="00BB332D" w:rsidRDefault="00BB332D"/>
    <w:p w14:paraId="198DC85A" w14:textId="77777777" w:rsidR="00622159" w:rsidRDefault="00622159"/>
    <w:p w14:paraId="6F4BDB64" w14:textId="77777777" w:rsidR="00622159" w:rsidRDefault="00622159"/>
    <w:p w14:paraId="52A3DBCC" w14:textId="77777777" w:rsidR="00E5791D" w:rsidRPr="00E5791D" w:rsidRDefault="00E5791D" w:rsidP="00E5791D">
      <w:pPr>
        <w:rPr>
          <w:bCs/>
          <w:iCs/>
        </w:rPr>
      </w:pPr>
      <w:r w:rsidRPr="00FC502A">
        <w:rPr>
          <w:bCs/>
          <w:iCs/>
        </w:rPr>
        <w:t>Adapted from</w:t>
      </w:r>
      <w:r w:rsidRPr="00FC502A">
        <w:rPr>
          <w:bCs/>
          <w:i/>
          <w:iCs/>
        </w:rPr>
        <w:t xml:space="preserve"> How Learning Works </w:t>
      </w:r>
      <w:r w:rsidRPr="00FC502A">
        <w:rPr>
          <w:bCs/>
          <w:iCs/>
        </w:rPr>
        <w:t xml:space="preserve">by Ambrose , Bridges </w:t>
      </w:r>
      <w:proofErr w:type="spellStart"/>
      <w:r w:rsidRPr="00FC502A">
        <w:rPr>
          <w:bCs/>
          <w:iCs/>
        </w:rPr>
        <w:t>DiPietro</w:t>
      </w:r>
      <w:proofErr w:type="spellEnd"/>
      <w:r w:rsidRPr="00FC502A">
        <w:rPr>
          <w:bCs/>
          <w:iCs/>
        </w:rPr>
        <w:t>, Lovett, &amp; Norman</w:t>
      </w:r>
      <w:r>
        <w:rPr>
          <w:bCs/>
          <w:iCs/>
        </w:rPr>
        <w:t xml:space="preserve"> (2010)</w:t>
      </w:r>
      <w:r w:rsidRPr="00FC502A">
        <w:rPr>
          <w:bCs/>
          <w:i/>
          <w:iCs/>
        </w:rPr>
        <w:t xml:space="preserve"> </w:t>
      </w:r>
      <w:r>
        <w:rPr>
          <w:bCs/>
          <w:iCs/>
        </w:rPr>
        <w:t xml:space="preserve">and </w:t>
      </w:r>
      <w:r w:rsidRPr="00E5791D">
        <w:rPr>
          <w:bCs/>
          <w:i/>
          <w:iCs/>
        </w:rPr>
        <w:t>The Science of Learning</w:t>
      </w:r>
      <w:r w:rsidRPr="00E5791D">
        <w:rPr>
          <w:bCs/>
          <w:iCs/>
        </w:rPr>
        <w:t xml:space="preserve"> by Deans for Impact </w:t>
      </w:r>
      <w:r>
        <w:rPr>
          <w:bCs/>
          <w:iCs/>
        </w:rPr>
        <w:t>(</w:t>
      </w:r>
      <w:r w:rsidRPr="00E5791D">
        <w:rPr>
          <w:bCs/>
          <w:iCs/>
        </w:rPr>
        <w:t>2015</w:t>
      </w:r>
      <w:r>
        <w:rPr>
          <w:bCs/>
          <w:iCs/>
        </w:rPr>
        <w:t>).</w:t>
      </w:r>
    </w:p>
    <w:p w14:paraId="4C2C7C18" w14:textId="76B66240" w:rsidR="004B03EF" w:rsidRDefault="004B03EF">
      <w:r>
        <w:br w:type="page"/>
      </w:r>
    </w:p>
    <w:p w14:paraId="44055B03" w14:textId="1A9EC37C" w:rsidR="004B03EF" w:rsidRPr="004B03EF" w:rsidRDefault="004B03EF" w:rsidP="004B03EF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>
        <w:rPr>
          <w:b/>
          <w:bCs/>
          <w:iCs/>
          <w:sz w:val="32"/>
        </w:rPr>
        <w:tab/>
      </w:r>
      <w:r w:rsidRPr="004B03EF">
        <w:rPr>
          <w:b/>
          <w:bCs/>
          <w:iCs/>
          <w:sz w:val="32"/>
        </w:rPr>
        <w:t>Partner B</w:t>
      </w:r>
    </w:p>
    <w:p w14:paraId="1C8156E9" w14:textId="77777777" w:rsidR="004B03EF" w:rsidRPr="00CE437C" w:rsidRDefault="004B03EF" w:rsidP="004B03EF">
      <w:r w:rsidRPr="00CE437C">
        <w:rPr>
          <w:b/>
          <w:bCs/>
          <w:i/>
          <w:iCs/>
        </w:rPr>
        <w:t xml:space="preserve">Monitoring Performance </w:t>
      </w:r>
    </w:p>
    <w:p w14:paraId="28EFF3CD" w14:textId="77777777" w:rsidR="004B03EF" w:rsidRDefault="004B03EF" w:rsidP="004B03EF"/>
    <w:p w14:paraId="1868BA12" w14:textId="77777777" w:rsidR="004B03EF" w:rsidRDefault="004B03EF" w:rsidP="004B03EF">
      <w:r w:rsidRPr="00CE437C">
        <w:t xml:space="preserve">Research on the effects of students’ self-monitoring activities has highlighted two important findings. </w:t>
      </w:r>
    </w:p>
    <w:p w14:paraId="04B6F9AB" w14:textId="77777777" w:rsidR="004B03EF" w:rsidRDefault="004B03EF" w:rsidP="004B03EF"/>
    <w:p w14:paraId="7A94C047" w14:textId="77777777" w:rsidR="004B03EF" w:rsidRDefault="004B03EF" w:rsidP="004B03EF">
      <w:r w:rsidRPr="00CE437C">
        <w:t xml:space="preserve">First, students who monitor their own progress and try to explain to </w:t>
      </w:r>
      <w:proofErr w:type="gramStart"/>
      <w:r w:rsidRPr="00CE437C">
        <w:t>themselves</w:t>
      </w:r>
      <w:proofErr w:type="gramEnd"/>
      <w:r w:rsidRPr="00CE437C">
        <w:t xml:space="preserve"> what they are learning along the way show greater learning gains compared to students who </w:t>
      </w:r>
      <w:r>
        <w:t xml:space="preserve">do not </w:t>
      </w:r>
      <w:r w:rsidRPr="00CE437C">
        <w:t xml:space="preserve">engage in self-monitoring and self-explanation activities. </w:t>
      </w:r>
    </w:p>
    <w:p w14:paraId="37A1559C" w14:textId="77777777" w:rsidR="004B03EF" w:rsidRDefault="004B03EF" w:rsidP="004B03EF"/>
    <w:p w14:paraId="435E1837" w14:textId="253B1275" w:rsidR="004B03EF" w:rsidRDefault="004B03EF" w:rsidP="004B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In</w:t>
      </w:r>
      <w:r w:rsidRPr="00CE437C">
        <w:t xml:space="preserve"> one study, students were asked to </w:t>
      </w:r>
      <w:r w:rsidR="00F63DCF">
        <w:t xml:space="preserve">interrupt their reading at intervals to explain what they were reading.  </w:t>
      </w:r>
      <w:r w:rsidRPr="00CE437C">
        <w:t>After</w:t>
      </w:r>
      <w:r>
        <w:t>ward</w:t>
      </w:r>
      <w:r w:rsidRPr="00CE437C">
        <w:t xml:space="preserve">, the students took a test that measured how much they had learned. </w:t>
      </w:r>
      <w:r>
        <w:t>The researcher found a</w:t>
      </w:r>
      <w:r w:rsidRPr="00CE437C">
        <w:t xml:space="preserve"> key difference </w:t>
      </w:r>
      <w:r>
        <w:t>between the students with high scores and low scores.  The students with high scores</w:t>
      </w:r>
      <w:r w:rsidRPr="00CE437C">
        <w:t xml:space="preserve"> were far more likely to monitor their understanding while they studied, that is, to continually stop themselves as they were reading to ask whether they </w:t>
      </w:r>
      <w:proofErr w:type="gramStart"/>
      <w:r w:rsidRPr="00CE437C">
        <w:t>were understanding</w:t>
      </w:r>
      <w:proofErr w:type="gramEnd"/>
      <w:r w:rsidRPr="00CE437C">
        <w:t xml:space="preserve"> the concepts just presented (Chi et al., 1989). </w:t>
      </w:r>
    </w:p>
    <w:p w14:paraId="0BD3C7F5" w14:textId="77777777" w:rsidR="004B03EF" w:rsidRPr="00CE437C" w:rsidRDefault="004B03EF" w:rsidP="004B03EF"/>
    <w:p w14:paraId="56AAAA8A" w14:textId="77777777" w:rsidR="004B03EF" w:rsidRDefault="004B03EF" w:rsidP="004B03EF">
      <w:r>
        <w:t>But can</w:t>
      </w:r>
      <w:r w:rsidRPr="00CE437C">
        <w:t xml:space="preserve"> teaching students t</w:t>
      </w:r>
      <w:r>
        <w:t xml:space="preserve">o self-monitor actually improve students’ learning?  </w:t>
      </w:r>
      <w:r w:rsidRPr="00CE437C">
        <w:t xml:space="preserve">Research in multiple domains indicates that the answer is yes. </w:t>
      </w:r>
    </w:p>
    <w:p w14:paraId="6C5D543C" w14:textId="77777777" w:rsidR="004B03EF" w:rsidRDefault="004B03EF" w:rsidP="004B03EF"/>
    <w:p w14:paraId="53757569" w14:textId="77777777" w:rsidR="004B03EF" w:rsidRDefault="004B03EF" w:rsidP="004B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Multiple studies have shown that s</w:t>
      </w:r>
      <w:r w:rsidRPr="00CE437C">
        <w:t>tudents who were taught or prompted t</w:t>
      </w:r>
      <w:r>
        <w:t>o monitor their own understand</w:t>
      </w:r>
      <w:r w:rsidRPr="00CE437C">
        <w:t xml:space="preserve">ing or to explain to themselves what they were learning had greater learning gains </w:t>
      </w:r>
      <w:r>
        <w:t>than</w:t>
      </w:r>
      <w:r w:rsidRPr="00CE437C">
        <w:t xml:space="preserve"> students who were not given any </w:t>
      </w:r>
      <w:r>
        <w:t>self-</w:t>
      </w:r>
      <w:r w:rsidRPr="00CE437C">
        <w:t>monitoring instruction (</w:t>
      </w:r>
      <w:proofErr w:type="spellStart"/>
      <w:r w:rsidRPr="00CE437C">
        <w:t>Bielaczyc</w:t>
      </w:r>
      <w:proofErr w:type="spellEnd"/>
      <w:r w:rsidRPr="00CE437C">
        <w:t xml:space="preserve">, </w:t>
      </w:r>
      <w:proofErr w:type="spellStart"/>
      <w:r w:rsidRPr="00CE437C">
        <w:t>Pirolli</w:t>
      </w:r>
      <w:proofErr w:type="spellEnd"/>
      <w:r w:rsidRPr="00CE437C">
        <w:t xml:space="preserve">, &amp; Brown, 1995; Chi et al., 1994). </w:t>
      </w:r>
    </w:p>
    <w:p w14:paraId="5C262179" w14:textId="77777777" w:rsidR="004B03EF" w:rsidRDefault="004B03EF" w:rsidP="004B03EF">
      <w:pPr>
        <w:ind w:left="720"/>
      </w:pPr>
    </w:p>
    <w:p w14:paraId="3DDF011D" w14:textId="77777777" w:rsidR="004B03EF" w:rsidRPr="00CE437C" w:rsidRDefault="004B03EF" w:rsidP="004B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R</w:t>
      </w:r>
      <w:r w:rsidRPr="00CE437C">
        <w:t xml:space="preserve">esearch has </w:t>
      </w:r>
      <w:r>
        <w:t xml:space="preserve">also </w:t>
      </w:r>
      <w:r w:rsidRPr="00CE437C">
        <w:t>shown that when students</w:t>
      </w:r>
      <w:r>
        <w:t xml:space="preserve"> are taught to ask each other </w:t>
      </w:r>
      <w:r w:rsidRPr="00CE437C">
        <w:t>comprehension-monitoring questions during reading, they learn to self-monitor more often and learn more from what they read (</w:t>
      </w:r>
      <w:proofErr w:type="spellStart"/>
      <w:r w:rsidRPr="00CE437C">
        <w:t>Palinscar</w:t>
      </w:r>
      <w:proofErr w:type="spellEnd"/>
      <w:r w:rsidRPr="00CE437C">
        <w:t xml:space="preserve"> &amp; Brown, 1984). </w:t>
      </w:r>
    </w:p>
    <w:p w14:paraId="2F3A8D6D" w14:textId="77777777" w:rsidR="004B03EF" w:rsidRDefault="004B03EF" w:rsidP="004B03EF"/>
    <w:p w14:paraId="74506AE8" w14:textId="77777777" w:rsidR="004B03EF" w:rsidRDefault="004B03EF" w:rsidP="004B03EF"/>
    <w:p w14:paraId="4C223E17" w14:textId="77777777" w:rsidR="004B03EF" w:rsidRPr="00E5791D" w:rsidRDefault="004B03EF" w:rsidP="004B03EF">
      <w:pPr>
        <w:rPr>
          <w:bCs/>
          <w:iCs/>
        </w:rPr>
      </w:pPr>
      <w:r w:rsidRPr="00FC502A">
        <w:rPr>
          <w:bCs/>
          <w:iCs/>
        </w:rPr>
        <w:t>Adapted from</w:t>
      </w:r>
      <w:r w:rsidRPr="00FC502A">
        <w:rPr>
          <w:bCs/>
          <w:i/>
          <w:iCs/>
        </w:rPr>
        <w:t xml:space="preserve"> How Learning Works </w:t>
      </w:r>
      <w:r w:rsidRPr="00FC502A">
        <w:rPr>
          <w:bCs/>
          <w:iCs/>
        </w:rPr>
        <w:t xml:space="preserve">by Ambrose , Bridges </w:t>
      </w:r>
      <w:proofErr w:type="spellStart"/>
      <w:r w:rsidRPr="00FC502A">
        <w:rPr>
          <w:bCs/>
          <w:iCs/>
        </w:rPr>
        <w:t>DiPietro</w:t>
      </w:r>
      <w:proofErr w:type="spellEnd"/>
      <w:r w:rsidRPr="00FC502A">
        <w:rPr>
          <w:bCs/>
          <w:iCs/>
        </w:rPr>
        <w:t>, Lovett, &amp; Norman</w:t>
      </w:r>
      <w:r>
        <w:rPr>
          <w:bCs/>
          <w:iCs/>
        </w:rPr>
        <w:t xml:space="preserve"> (2010)</w:t>
      </w:r>
      <w:r w:rsidRPr="00FC502A">
        <w:rPr>
          <w:bCs/>
          <w:i/>
          <w:iCs/>
        </w:rPr>
        <w:t xml:space="preserve"> </w:t>
      </w:r>
      <w:r>
        <w:rPr>
          <w:bCs/>
          <w:iCs/>
        </w:rPr>
        <w:t xml:space="preserve">and </w:t>
      </w:r>
      <w:r w:rsidRPr="00E5791D">
        <w:rPr>
          <w:bCs/>
          <w:i/>
          <w:iCs/>
        </w:rPr>
        <w:t>The Science of Learning</w:t>
      </w:r>
      <w:r w:rsidRPr="00E5791D">
        <w:rPr>
          <w:bCs/>
          <w:iCs/>
        </w:rPr>
        <w:t xml:space="preserve"> by Deans for Impact </w:t>
      </w:r>
      <w:r>
        <w:rPr>
          <w:bCs/>
          <w:iCs/>
        </w:rPr>
        <w:t>(</w:t>
      </w:r>
      <w:r w:rsidRPr="00E5791D">
        <w:rPr>
          <w:bCs/>
          <w:iCs/>
        </w:rPr>
        <w:t>2015</w:t>
      </w:r>
      <w:r>
        <w:rPr>
          <w:bCs/>
          <w:iCs/>
        </w:rPr>
        <w:t>).</w:t>
      </w:r>
    </w:p>
    <w:p w14:paraId="58B4E347" w14:textId="77777777" w:rsidR="004B03EF" w:rsidRPr="00E5791D" w:rsidRDefault="004B03EF" w:rsidP="004B03EF">
      <w:pPr>
        <w:rPr>
          <w:bCs/>
          <w:iCs/>
        </w:rPr>
      </w:pPr>
    </w:p>
    <w:p w14:paraId="2E7FFC5A" w14:textId="77777777" w:rsidR="004B03EF" w:rsidRDefault="004B03EF" w:rsidP="004B03EF">
      <w:pPr>
        <w:rPr>
          <w:b/>
          <w:bCs/>
          <w:i/>
          <w:iCs/>
        </w:rPr>
      </w:pPr>
      <w:r w:rsidRPr="00FC502A">
        <w:rPr>
          <w:b/>
          <w:bCs/>
          <w:i/>
          <w:iCs/>
        </w:rPr>
        <w:t xml:space="preserve"> </w:t>
      </w:r>
    </w:p>
    <w:p w14:paraId="4DE42251" w14:textId="4C97E461" w:rsidR="00622159" w:rsidRDefault="00622159"/>
    <w:sectPr w:rsidR="00622159" w:rsidSect="002E69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7C"/>
    <w:rsid w:val="000A743A"/>
    <w:rsid w:val="002E696D"/>
    <w:rsid w:val="00374579"/>
    <w:rsid w:val="004B03EF"/>
    <w:rsid w:val="00622159"/>
    <w:rsid w:val="006234D4"/>
    <w:rsid w:val="007803F1"/>
    <w:rsid w:val="007B4525"/>
    <w:rsid w:val="009065A4"/>
    <w:rsid w:val="00950BCB"/>
    <w:rsid w:val="009F6374"/>
    <w:rsid w:val="00BB332D"/>
    <w:rsid w:val="00CC0591"/>
    <w:rsid w:val="00CE437C"/>
    <w:rsid w:val="00E5791D"/>
    <w:rsid w:val="00EE4FE0"/>
    <w:rsid w:val="00F40988"/>
    <w:rsid w:val="00F63DCF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A0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3D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3D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542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605</Words>
  <Characters>3452</Characters>
  <Application>Microsoft Macintosh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cp:lastPrinted>2017-08-27T20:16:00Z</cp:lastPrinted>
  <dcterms:created xsi:type="dcterms:W3CDTF">2017-08-27T20:16:00Z</dcterms:created>
  <dcterms:modified xsi:type="dcterms:W3CDTF">2017-08-30T17:31:00Z</dcterms:modified>
</cp:coreProperties>
</file>